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40"/>
        <w:spacing w:before="120" w:after="120" w:line="85" w:lineRule="atLeast"/>
        <w:pBdr>
          <w:top w:val="none" w:color="000000" w:sz="0" w:space="0"/>
          <w:left w:val="none" w:color="000000" w:sz="0" w:space="0"/>
          <w:bottom w:val="none" w:color="000000" w:sz="0" w:space="0"/>
          <w:right w:val="none" w:color="000000" w:sz="0" w:space="0"/>
        </w:pBdr>
      </w:pPr>
      <w:r/>
      <w:r/>
    </w:p>
    <w:p>
      <w:pPr>
        <w:jc w:val="center"/>
        <w:spacing w:before="120" w:after="120" w:line="85" w:lineRule="atLeast"/>
        <w:rPr>
          <w:rFonts w:ascii="宋体" w:hAnsi="宋体" w:eastAsia="宋体" w:cs="宋体"/>
          <w:b/>
          <w:bCs/>
          <w:color w:val="000000"/>
          <w:sz w:val="84"/>
          <w:szCs w:val="8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highlight w:val="none"/>
        </w:rPr>
      </w:r>
      <w:r>
        <w:rPr>
          <w:rFonts w:ascii="宋体" w:hAnsi="宋体" w:eastAsia="宋体" w:cs="宋体"/>
          <w:b/>
          <w:color w:val="000000"/>
          <w:sz w:val="84"/>
          <w:highlight w:val="none"/>
        </w:rPr>
      </w:r>
      <w:r/>
    </w:p>
    <w:p>
      <w:pPr>
        <w:jc w:val="center"/>
        <w:spacing w:before="120" w:after="120" w:line="85" w:lineRule="atLeast"/>
        <w:rPr>
          <w:rFonts w:ascii="宋体" w:hAnsi="宋体" w:eastAsia="宋体" w:cs="宋体"/>
          <w:b/>
          <w:bCs/>
          <w:color w:val="000000"/>
          <w:sz w:val="84"/>
          <w:szCs w:val="8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 xml:space="preserve">招 标 文 件</w:t>
      </w:r>
      <w:r/>
    </w:p>
    <w:p>
      <w:pPr>
        <w:jc w:val="center"/>
        <w:spacing w:before="120" w:after="120" w:line="85" w:lineRule="atLeast"/>
        <w:rPr>
          <w:rFonts w:ascii="宋体" w:hAnsi="宋体" w:eastAsia="宋体" w:cs="宋体"/>
          <w:b/>
          <w:color w:val="000000"/>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r>
      <w:r/>
    </w:p>
    <w:p>
      <w:pPr>
        <w:spacing w:before="120" w:after="120" w:line="85" w:lineRule="atLeast"/>
        <w:tabs>
          <w:tab w:val="left" w:pos="5592" w:leader="none"/>
        </w:tabs>
        <w:rPr>
          <w:rFonts w:ascii="宋体" w:hAnsi="宋体" w:eastAsia="宋体" w:cs="宋体"/>
          <w:b/>
          <w:color w:val="000000"/>
          <w:sz w:val="8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84"/>
        </w:rPr>
        <w:tab/>
      </w:r>
      <w:r/>
    </w:p>
    <w:p>
      <w:pPr>
        <w:jc w:val="center"/>
        <w:spacing w:before="120" w:after="120" w:line="85" w:lineRule="atLeast"/>
        <w:pBdr>
          <w:top w:val="none" w:color="000000" w:sz="0" w:space="0"/>
          <w:left w:val="none" w:color="000000" w:sz="0" w:space="0"/>
          <w:bottom w:val="none" w:color="000000" w:sz="0" w:space="0"/>
          <w:right w:val="none" w:color="000000" w:sz="0" w:space="0"/>
        </w:pBdr>
      </w:pPr>
      <w:r/>
      <w:r/>
    </w:p>
    <w:p>
      <w:pPr>
        <w:jc w:val="center"/>
        <w:spacing w:before="240" w:after="240"/>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w:t>
      </w:r>
      <w:r>
        <w:rPr>
          <w:rFonts w:hint="eastAsia" w:ascii="宋体" w:hAnsi="宋体" w:eastAsia="宋体" w:cs="宋体"/>
          <w:b/>
          <w:color w:val="000000"/>
          <w:sz w:val="32"/>
          <w:highlight w:val="white"/>
        </w:rPr>
        <w:t xml:space="preserve">2025年人防警报设施采购项目</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highlight w:val="white"/>
        </w:rPr>
        <w:t xml:space="preserve"> </w:t>
      </w:r>
      <w:r/>
    </w:p>
    <w:p>
      <w:pPr>
        <w:jc w:val="center"/>
        <w:spacing w:before="240" w:after="240"/>
        <w:rPr>
          <w:rFonts w:ascii="Segoe UI" w:hAnsi="Segoe UI" w:cs="Segoe UI"/>
          <w:sz w:val="19"/>
          <w:szCs w:val="19"/>
          <w:shd w:val="clear" w:color="auto" w:fill="ffffff"/>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w:t>
      </w:r>
      <w:r>
        <w:rPr>
          <w:rFonts w:hint="eastAsia" w:ascii="宋体" w:hAnsi="宋体" w:eastAsia="宋体" w:cs="宋体"/>
          <w:b/>
          <w:color w:val="000000"/>
          <w:sz w:val="32"/>
        </w:rPr>
        <w:t xml:space="preserve">JSZC-320900-RHHH-G2025-0125</w:t>
      </w:r>
      <w:r>
        <w:rPr>
          <w:rFonts w:ascii="宋体" w:hAnsi="宋体" w:eastAsia="宋体" w:cs="宋体"/>
          <w:b/>
          <w:color w:val="000000"/>
          <w:sz w:val="32"/>
        </w:rPr>
        <w:t xml:space="preserve"> </w:t>
      </w:r>
      <w:r/>
    </w:p>
    <w:p>
      <w:pPr>
        <w:jc w:val="center"/>
        <w:spacing w:before="240" w:after="240"/>
        <w:rPr>
          <w:rFonts w:ascii="Segoe UI" w:hAnsi="Segoe UI" w:cs="Segoe UI"/>
          <w:sz w:val="19"/>
          <w:szCs w:val="19"/>
          <w:shd w:val="clear" w:color="auto" w:fill="ffffff"/>
        </w:rPr>
        <w:pBdr>
          <w:top w:val="none" w:color="000000" w:sz="0" w:space="0"/>
          <w:left w:val="none" w:color="000000" w:sz="0" w:space="0"/>
          <w:bottom w:val="none" w:color="000000" w:sz="0" w:space="0"/>
          <w:right w:val="none" w:color="000000" w:sz="0" w:space="0"/>
        </w:pBdr>
      </w:pPr>
      <w:r>
        <w:rPr>
          <w:rFonts w:ascii="Segoe UI" w:hAnsi="Segoe UI" w:cs="Segoe UI"/>
          <w:sz w:val="19"/>
          <w:szCs w:val="19"/>
          <w:shd w:val="clear" w:color="auto" w:fill="ffffff"/>
        </w:rPr>
      </w:r>
      <w:r/>
    </w:p>
    <w:p>
      <w:pPr>
        <w:jc w:val="center"/>
        <w:spacing w:before="240" w:after="240"/>
        <w:pBdr>
          <w:top w:val="none" w:color="000000" w:sz="0" w:space="0"/>
          <w:left w:val="none" w:color="000000" w:sz="0" w:space="0"/>
          <w:bottom w:val="none" w:color="000000" w:sz="0" w:space="0"/>
          <w:right w:val="none" w:color="000000" w:sz="0" w:space="0"/>
        </w:pBdr>
      </w:pPr>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120" w:after="120"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white"/>
        </w:rPr>
        <w:t xml:space="preserve">盐城市发展和改革委员会</w:t>
      </w:r>
      <w:r/>
    </w:p>
    <w:p>
      <w:pPr>
        <w:jc w:val="center"/>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202</w:t>
      </w:r>
      <w:r>
        <w:rPr>
          <w:rFonts w:hint="eastAsia" w:ascii="宋体" w:hAnsi="宋体" w:eastAsia="宋体" w:cs="宋体"/>
          <w:b/>
          <w:color w:val="000000"/>
          <w:sz w:val="32"/>
        </w:rPr>
        <w:t xml:space="preserve">5</w:t>
      </w:r>
      <w:r>
        <w:rPr>
          <w:rFonts w:ascii="宋体" w:hAnsi="宋体" w:eastAsia="宋体" w:cs="宋体"/>
          <w:b/>
          <w:color w:val="000000"/>
          <w:sz w:val="32"/>
        </w:rPr>
        <w:t xml:space="preserve">年</w:t>
      </w:r>
      <w:r>
        <w:rPr>
          <w:rFonts w:hint="eastAsia" w:ascii="宋体" w:hAnsi="宋体" w:eastAsia="宋体" w:cs="宋体"/>
          <w:b/>
          <w:color w:val="000000"/>
          <w:sz w:val="32"/>
        </w:rPr>
        <w:t xml:space="preserve">10</w:t>
      </w:r>
      <w:r>
        <w:rPr>
          <w:rFonts w:ascii="宋体" w:hAnsi="宋体" w:eastAsia="宋体" w:cs="宋体"/>
          <w:b/>
          <w:color w:val="000000"/>
          <w:sz w:val="32"/>
        </w:rPr>
        <w:t xml:space="preserve">月</w:t>
      </w:r>
      <w:r/>
    </w:p>
    <w:p>
      <w:p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br w:type="page" w:clear="all"/>
      </w:r>
      <w:r/>
    </w:p>
    <w:sdt>
      <w:sdtPr>
        <w15:appearance w15:val="boundingBox"/>
        <w:id w:val="-1"/>
        <w:showingPlcHdr w:val="true"/>
        <w:docPartObj>
          <w:docPartGallery w:val="Table of Contents"/>
          <w:docPartUnique w:val="true"/>
        </w:docPartObj>
        <w:rPr>
          <w:rFonts w:ascii="宋体" w:hAnsi="宋体" w:eastAsia="宋体"/>
          <w:b/>
          <w:bCs/>
          <w:sz w:val="32"/>
          <w:szCs w:val="32"/>
          <w:lang w:val="zh-CN"/>
        </w:rPr>
      </w:sdtPr>
      <w:sdtContent>
        <w:p>
          <w:pPr>
            <w:pBdr>
              <w:top w:val="none" w:color="000000" w:sz="0" w:space="0"/>
              <w:left w:val="none" w:color="000000" w:sz="0" w:space="0"/>
              <w:bottom w:val="none" w:color="000000" w:sz="0" w:space="0"/>
              <w:right w:val="none" w:color="000000" w:sz="0" w:space="0"/>
            </w:pBdr>
          </w:pPr>
          <w:r>
            <w:rPr>
              <w:rFonts w:hint="eastAsia" w:ascii="宋体" w:hAnsi="宋体" w:eastAsia="宋体"/>
              <w:b/>
              <w:bCs/>
              <w:sz w:val="32"/>
              <w:szCs w:val="32"/>
              <w:lang w:val="zh-CN"/>
            </w:rPr>
            <w:t xml:space="preserve">     </w:t>
          </w:r>
          <w:r/>
        </w:p>
      </w:sdtContent>
    </w:sdt>
    <w:p>
      <w:pPr>
        <w:jc w:val="center"/>
        <w:spacing w:before="240" w:after="240"/>
        <w:rPr>
          <w:rFonts w:ascii="宋体" w:hAnsi="宋体" w:eastAsia="宋体" w:cs="宋体"/>
          <w:color w:val="000000"/>
          <w:sz w:val="44"/>
          <w:szCs w:val="44"/>
        </w:rPr>
        <w:pBdr>
          <w:top w:val="none" w:color="000000" w:sz="0" w:space="0"/>
          <w:left w:val="none" w:color="000000" w:sz="0" w:space="0"/>
          <w:bottom w:val="none" w:color="000000" w:sz="0" w:space="0"/>
          <w:right w:val="none" w:color="000000" w:sz="0" w:space="0"/>
        </w:pBdr>
        <w:outlineLvl w:val="0"/>
      </w:pPr>
      <w:r/>
      <w:bookmarkStart w:id="0" w:name="_Toc207118506"/>
      <w:r>
        <w:rPr>
          <w:rFonts w:hint="eastAsia" w:ascii="宋体" w:hAnsi="宋体" w:eastAsia="宋体" w:cs="宋体"/>
          <w:color w:val="000000"/>
          <w:sz w:val="44"/>
        </w:rPr>
        <w:t xml:space="preserve">第一章 招标公告</w:t>
      </w:r>
      <w:bookmarkEnd w:id="0"/>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rHeight w:val="1128"/>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spacing w:before="240" w:after="240"/>
              <w:rPr>
                <w:rFonts w:ascii="宋体" w:hAnsi="宋体" w:eastAsia="宋体" w:cs="宋体"/>
                <w:sz w:val="18"/>
                <w:szCs w:val="1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8"/>
              </w:rPr>
              <w:t xml:space="preserve">项目概况</w:t>
            </w:r>
            <w:r/>
          </w:p>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18"/>
              </w:rPr>
              <w:t xml:space="preserve">2025年人防警报设施采购项目的潜在投标人应在“苏采云”系统内免费下载（投标人必须在苏采云系统中获取采购文件，方能参与政府采购项目）获取招标文件，并于2025年 1</w:t>
            </w:r>
            <w:r>
              <w:rPr>
                <w:rFonts w:hint="eastAsia" w:ascii="宋体" w:hAnsi="宋体" w:eastAsia="宋体" w:cs="宋体"/>
                <w:color w:val="000000"/>
                <w:sz w:val="24"/>
                <w:szCs w:val="18"/>
                <w:lang w:val="en-US" w:eastAsia="zh-CN"/>
              </w:rPr>
              <w:t xml:space="preserve">1</w:t>
            </w:r>
            <w:r>
              <w:rPr>
                <w:rFonts w:hint="eastAsia" w:ascii="宋体" w:hAnsi="宋体" w:eastAsia="宋体" w:cs="宋体"/>
                <w:color w:val="000000"/>
                <w:sz w:val="24"/>
                <w:szCs w:val="18"/>
              </w:rPr>
              <w:t xml:space="preserve">月</w:t>
            </w:r>
            <w:r>
              <w:rPr>
                <w:rFonts w:hint="eastAsia" w:ascii="宋体" w:hAnsi="宋体" w:eastAsia="宋体" w:cs="宋体"/>
                <w:color w:val="000000"/>
                <w:sz w:val="24"/>
                <w:szCs w:val="18"/>
                <w:lang w:val="en-US" w:eastAsia="zh-CN"/>
              </w:rPr>
              <w:t xml:space="preserve">18</w:t>
            </w:r>
            <w:r>
              <w:rPr>
                <w:rFonts w:hint="eastAsia" w:ascii="宋体" w:hAnsi="宋体" w:eastAsia="宋体" w:cs="宋体"/>
                <w:color w:val="000000"/>
                <w:sz w:val="24"/>
                <w:szCs w:val="18"/>
              </w:rPr>
              <w:t xml:space="preserve">日</w:t>
            </w:r>
            <w:r>
              <w:rPr>
                <w:rFonts w:hint="eastAsia" w:ascii="宋体" w:hAnsi="宋体" w:eastAsia="宋体" w:cs="宋体"/>
                <w:color w:val="000000"/>
                <w:sz w:val="24"/>
                <w:szCs w:val="18"/>
                <w:lang w:val="en-US" w:eastAsia="zh-CN"/>
              </w:rPr>
              <w:t xml:space="preserve">15</w:t>
            </w:r>
            <w:r>
              <w:rPr>
                <w:rFonts w:hint="eastAsia" w:ascii="宋体" w:hAnsi="宋体" w:eastAsia="宋体" w:cs="宋体"/>
                <w:color w:val="000000"/>
                <w:sz w:val="24"/>
                <w:szCs w:val="18"/>
              </w:rPr>
              <w:t xml:space="preserve">点00分（北京时间）前递交投标文件。</w:t>
            </w:r>
            <w:r/>
          </w:p>
        </w:tc>
      </w:tr>
    </w:tbl>
    <w:p>
      <w:pPr>
        <w:pStyle w:val="676"/>
        <w:jc w:val="both"/>
        <w:spacing w:before="260" w:after="260" w:line="553"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1" w:name="_Toc207118507"/>
      <w:r/>
      <w:bookmarkStart w:id="2" w:name="_Toc185584254"/>
      <w:r/>
      <w:bookmarkStart w:id="3" w:name="_Toc207091881"/>
      <w:r>
        <w:rPr>
          <w:rFonts w:hint="eastAsia" w:ascii="宋体" w:hAnsi="宋体" w:eastAsia="宋体" w:cs="宋体"/>
          <w:color w:val="000000"/>
          <w:sz w:val="24"/>
          <w:szCs w:val="24"/>
        </w:rPr>
        <w:t xml:space="preserve">一、项目基本情况</w:t>
      </w:r>
      <w:bookmarkEnd w:id="1"/>
      <w:r/>
      <w:bookmarkEnd w:id="2"/>
      <w:r/>
      <w:bookmarkEnd w:id="3"/>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1、项目编号：JSZC-320900-RHHH-G2025-0125</w:t>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2、项目名称：2025年人防警报设施采购项目</w:t>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3、采购方式：公开招标</w:t>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4、预算金额：60万元</w:t>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5、最高限价：60万元 </w:t>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6、采购需求：2025年人防警报设施采购项目。主要内容为采购20台人防电声警报一体机，并安装到位，具体详见项目采购需求。</w:t>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7、合同履行期限：</w:t>
      </w:r>
      <w:r>
        <w:rPr>
          <w:rFonts w:hint="eastAsia" w:ascii="宋体" w:hAnsi="宋体" w:cs="宋体"/>
          <w:sz w:val="24"/>
          <w:szCs w:val="24"/>
        </w:rPr>
        <w:t xml:space="preserve">自合同签订之日起90天内通过验收，交付使用</w:t>
      </w:r>
      <w:r>
        <w:rPr>
          <w:rFonts w:hint="eastAsia" w:ascii="宋体" w:hAnsi="宋体" w:eastAsia="宋体" w:cs="宋体"/>
          <w:color w:val="000000"/>
          <w:sz w:val="24"/>
          <w:szCs w:val="24"/>
        </w:rPr>
        <w:t xml:space="preserve">。</w:t>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8、本项目（是/否）接受联合体投标：否。</w:t>
      </w:r>
      <w:r/>
    </w:p>
    <w:p>
      <w:pPr>
        <w:pStyle w:val="676"/>
        <w:jc w:val="both"/>
        <w:spacing w:before="260" w:after="260" w:line="553"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4" w:name="_Toc185584255"/>
      <w:r/>
      <w:bookmarkStart w:id="5" w:name="_Toc207091882"/>
      <w:r/>
      <w:bookmarkStart w:id="6" w:name="_Toc207118508"/>
      <w:r>
        <w:rPr>
          <w:rFonts w:hint="eastAsia" w:ascii="宋体" w:hAnsi="宋体" w:eastAsia="宋体" w:cs="宋体"/>
          <w:color w:val="000000"/>
          <w:sz w:val="24"/>
          <w:szCs w:val="24"/>
        </w:rPr>
        <w:t xml:space="preserve">二、申请人的资格要求：</w:t>
      </w:r>
      <w:bookmarkEnd w:id="4"/>
      <w:r/>
      <w:bookmarkEnd w:id="5"/>
      <w:r/>
      <w:bookmarkEnd w:id="6"/>
      <w:r/>
      <w:r/>
    </w:p>
    <w:p>
      <w:pPr>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（一）满足《中华人民共和国政府采购法》第二十二条规定：</w:t>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1.法人或者其他组织的营业执照等证明文件，自然人的身份证明。</w:t>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2.上一年度的财务状况报表（成立不满一年不需提供）。</w:t>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3.依法缴纳税收和社会保障资金的相关材料。</w:t>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4.具备履行合同所必需的设备和专业技术能力的书面声明。</w:t>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5.参加政府采购活动前3年内在经营活动中没有重大违法记录的书面声明。</w:t>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6.法律、行政法规规定的其他条件。</w:t>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8.单位负责人为同一人或者存在直接控股、管理关系的不同供应商，不得参加同一合同项下的政府采购活动。</w:t>
      </w:r>
      <w:r/>
    </w:p>
    <w:p>
      <w:pPr>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（二）落实政府采购政策需满足的资格要求：</w:t>
      </w:r>
      <w:r/>
    </w:p>
    <w:p>
      <w:pPr>
        <w:ind w:firstLine="48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项目专门面向中小企业采购。采购标的的所属行业为工业，投标人需按照招标文件的要求提供相应的《中小企业声明函》。企业标准请参照《关于印发中小企业划型标准规定的通知》（工信部联企业[2011]300号）文件规定自行填写。</w:t>
      </w:r>
      <w:r/>
    </w:p>
    <w:p>
      <w:pPr>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t xml:space="preserve">（三）本项目的特定资格要求：</w:t>
      </w:r>
      <w:r>
        <w:rPr>
          <w:rFonts w:hint="eastAsia" w:ascii="宋体" w:hAnsi="宋体" w:eastAsia="宋体" w:cs="宋体"/>
          <w:color w:val="000000"/>
          <w:sz w:val="24"/>
          <w:szCs w:val="24"/>
          <w:highlight w:val="none"/>
        </w:rPr>
        <w:t xml:space="preserve">投标人应具有国家保密局或军队保密主管单位颁发的“保密资质证书”（复印件盖公章）。</w:t>
      </w:r>
      <w:r/>
    </w:p>
    <w:p>
      <w:pPr>
        <w:pStyle w:val="676"/>
        <w:jc w:val="both"/>
        <w:spacing w:before="260" w:after="260" w:line="553"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7" w:name="_Toc185584256"/>
      <w:r/>
      <w:bookmarkStart w:id="8" w:name="_Toc207091883"/>
      <w:r/>
      <w:bookmarkStart w:id="9" w:name="_Toc207118509"/>
      <w:r>
        <w:rPr>
          <w:rFonts w:hint="eastAsia" w:ascii="宋体" w:hAnsi="宋体" w:eastAsia="宋体" w:cs="宋体"/>
          <w:color w:val="000000"/>
          <w:sz w:val="24"/>
          <w:szCs w:val="24"/>
        </w:rPr>
        <w:t xml:space="preserve">三、获取招标文件</w:t>
      </w:r>
      <w:bookmarkEnd w:id="7"/>
      <w:r/>
      <w:bookmarkEnd w:id="8"/>
      <w:r/>
      <w:bookmarkEnd w:id="9"/>
      <w:r/>
      <w:r/>
    </w:p>
    <w:p>
      <w:pPr>
        <w:ind w:firstLine="480"/>
        <w:spacing w:before="240" w:after="24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时间：自招标文件公告发布之日起5个工作日 。</w:t>
      </w:r>
      <w:r/>
    </w:p>
    <w:p>
      <w:pPr>
        <w:ind w:firstLine="480"/>
        <w:spacing w:before="240" w:after="24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地点：“苏采云”系统内免费下载（投标人必须在苏采云系统中获取采购文件，方能参与政府采购项目）。</w:t>
      </w:r>
      <w:r/>
    </w:p>
    <w:p>
      <w:pPr>
        <w:ind w:firstLine="480"/>
        <w:spacing w:before="240" w:after="24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方式：本项目采用网上注册登记方式。</w:t>
      </w:r>
      <w:r/>
    </w:p>
    <w:p>
      <w:pPr>
        <w:ind w:firstLine="480"/>
        <w:spacing w:before="240" w:after="24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售价：0.00元。</w:t>
      </w:r>
      <w:r/>
    </w:p>
    <w:p>
      <w:pPr>
        <w:pStyle w:val="676"/>
        <w:jc w:val="both"/>
        <w:spacing w:before="260" w:after="260" w:line="553"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10" w:name="_Toc185584257"/>
      <w:r/>
      <w:bookmarkStart w:id="11" w:name="_Toc207091884"/>
      <w:r/>
      <w:bookmarkStart w:id="12" w:name="_Toc207118510"/>
      <w:r>
        <w:rPr>
          <w:rFonts w:hint="eastAsia" w:ascii="宋体" w:hAnsi="宋体" w:eastAsia="宋体" w:cs="宋体"/>
          <w:color w:val="000000"/>
          <w:sz w:val="24"/>
          <w:szCs w:val="24"/>
        </w:rPr>
        <w:t xml:space="preserve">四、提交投标文件截止时间、开标时间和地点</w:t>
      </w:r>
      <w:bookmarkEnd w:id="10"/>
      <w:r/>
      <w:bookmarkEnd w:id="11"/>
      <w:r/>
      <w:bookmarkEnd w:id="12"/>
      <w:r/>
      <w:r/>
    </w:p>
    <w:p>
      <w:pPr>
        <w:ind w:firstLine="48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2025年 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18</w:t>
      </w:r>
      <w:r>
        <w:rPr>
          <w:rFonts w:hint="eastAsia" w:ascii="宋体" w:hAnsi="宋体" w:eastAsia="宋体" w:cs="宋体"/>
          <w:color w:val="000000"/>
          <w:sz w:val="24"/>
          <w:szCs w:val="24"/>
        </w:rPr>
        <w:t xml:space="preserve"> 日</w:t>
      </w:r>
      <w:r>
        <w:rPr>
          <w:rFonts w:hint="eastAsia" w:ascii="宋体" w:hAnsi="宋体" w:eastAsia="宋体" w:cs="宋体"/>
          <w:color w:val="000000"/>
          <w:sz w:val="24"/>
          <w:szCs w:val="24"/>
          <w:lang w:val="en-US" w:eastAsia="zh-CN"/>
        </w:rPr>
        <w:t xml:space="preserve">15</w:t>
      </w:r>
      <w:bookmarkStart w:id="33" w:name="_GoBack"/>
      <w:r/>
      <w:bookmarkEnd w:id="33"/>
      <w:r>
        <w:rPr>
          <w:rFonts w:hint="eastAsia" w:ascii="宋体" w:hAnsi="宋体" w:eastAsia="宋体" w:cs="宋体"/>
          <w:color w:val="000000"/>
          <w:sz w:val="24"/>
          <w:szCs w:val="24"/>
        </w:rPr>
        <w:t xml:space="preserve">点00分（北京时间）</w:t>
      </w:r>
      <w:r/>
    </w:p>
    <w:p>
      <w:pPr>
        <w:ind w:firstLine="480"/>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地点：“苏采云”政府采购交易系统网上开标大厅</w:t>
      </w:r>
      <w:r/>
    </w:p>
    <w:p>
      <w:pPr>
        <w:pStyle w:val="676"/>
        <w:jc w:val="both"/>
        <w:spacing w:before="260" w:after="260" w:line="553"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13" w:name="_Toc207091885"/>
      <w:r/>
      <w:bookmarkStart w:id="14" w:name="_Toc207118511"/>
      <w:r/>
      <w:bookmarkStart w:id="15" w:name="_Toc185584258"/>
      <w:r>
        <w:rPr>
          <w:rFonts w:hint="eastAsia" w:ascii="宋体" w:hAnsi="宋体" w:eastAsia="宋体" w:cs="宋体"/>
          <w:color w:val="000000"/>
          <w:sz w:val="24"/>
          <w:szCs w:val="24"/>
        </w:rPr>
        <w:t xml:space="preserve">五、公告期限</w:t>
      </w:r>
      <w:bookmarkEnd w:id="13"/>
      <w:r/>
      <w:bookmarkEnd w:id="14"/>
      <w:r/>
      <w:bookmarkEnd w:id="15"/>
      <w:r/>
      <w:r/>
    </w:p>
    <w:p>
      <w:pPr>
        <w:ind w:firstLine="480"/>
        <w:spacing w:before="240" w:after="240"/>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自本公告发布之日起5个工作日。</w:t>
      </w:r>
      <w:r/>
    </w:p>
    <w:p>
      <w:pPr>
        <w:pStyle w:val="676"/>
        <w:jc w:val="both"/>
        <w:spacing w:before="260" w:after="260" w:line="553"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bookmarkStart w:id="16" w:name="_Toc207118512"/>
      <w:r/>
      <w:bookmarkStart w:id="17" w:name="_Toc207091886"/>
      <w:r/>
      <w:bookmarkStart w:id="18" w:name="_Toc185584259"/>
      <w:r>
        <w:rPr>
          <w:rFonts w:hint="eastAsia" w:ascii="宋体" w:hAnsi="宋体" w:eastAsia="宋体" w:cs="宋体"/>
          <w:color w:val="000000"/>
          <w:sz w:val="24"/>
          <w:szCs w:val="24"/>
        </w:rPr>
        <w:t xml:space="preserve">六、其他补充事宜</w:t>
      </w:r>
      <w:bookmarkEnd w:id="16"/>
      <w:r/>
      <w:bookmarkEnd w:id="17"/>
      <w:r/>
      <w:bookmarkEnd w:id="18"/>
      <w:r/>
      <w:r/>
    </w:p>
    <w:p>
      <w:pPr>
        <w:ind w:firstLine="482"/>
        <w:spacing w:line="460" w:lineRule="exact"/>
        <w:rPr>
          <w:rFonts w:ascii="宋体" w:hAnsi="宋体" w:eastAsia="宋体" w:cs="宋体"/>
          <w:bCs/>
          <w:sz w:val="24"/>
        </w:rPr>
      </w:pPr>
      <w:r>
        <w:rPr>
          <w:rFonts w:hint="eastAsia" w:ascii="宋体" w:hAnsi="宋体" w:eastAsia="宋体" w:cs="宋体"/>
          <w:bCs/>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2"/>
        <w:spacing w:line="460" w:lineRule="exact"/>
        <w:rPr>
          <w:rFonts w:ascii="宋体" w:hAnsi="宋体" w:eastAsia="宋体" w:cs="宋体"/>
          <w:bCs/>
          <w:sz w:val="24"/>
        </w:rPr>
      </w:pPr>
      <w:r>
        <w:rPr>
          <w:rFonts w:hint="eastAsia" w:ascii="宋体" w:hAnsi="宋体" w:eastAsia="宋体" w:cs="宋体"/>
          <w:bCs/>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2"/>
        <w:spacing w:line="460" w:lineRule="exact"/>
        <w:rPr>
          <w:rFonts w:ascii="宋体" w:hAnsi="宋体" w:eastAsia="宋体" w:cs="宋体"/>
          <w:bCs/>
          <w:sz w:val="24"/>
        </w:rPr>
      </w:pPr>
      <w:r>
        <w:rPr>
          <w:rFonts w:hint="eastAsia" w:ascii="宋体" w:hAnsi="宋体" w:eastAsia="宋体" w:cs="宋体"/>
          <w:bCs/>
          <w:sz w:val="24"/>
        </w:rPr>
        <w:t xml:space="preserve">2、潜在供应商访问电子招标响应交易平台的网络地址和方法： </w:t>
      </w:r>
      <w:r/>
    </w:p>
    <w:p>
      <w:pPr>
        <w:ind w:firstLine="482"/>
        <w:spacing w:line="460" w:lineRule="exact"/>
        <w:rPr>
          <w:rFonts w:ascii="宋体" w:hAnsi="宋体" w:eastAsia="宋体" w:cs="宋体"/>
          <w:bCs/>
          <w:sz w:val="24"/>
        </w:rPr>
      </w:pPr>
      <w:r>
        <w:rPr>
          <w:rFonts w:hint="eastAsia" w:ascii="宋体" w:hAnsi="宋体" w:eastAsia="宋体" w:cs="宋体"/>
          <w:bCs/>
          <w:sz w:val="24"/>
        </w:rPr>
        <w:t xml:space="preserve">2.1“苏采云”系统用户注册--获取“CA数字证书”--CA绑定与登录--参与投标--下载招标文件（后缀名为“.kedt”）--将后缀名为“.kedt”的招标文件导入政府采购客户端工具--制作响应文件--导出加密的响应文件（后缀名为 zip）--通过“苏采云”系统上传响应文件。具体见《“苏采云”系统供应商操作手册》（手册下载地址：苏采云系统-右侧消息通知栏）。 </w:t>
      </w:r>
      <w:r/>
    </w:p>
    <w:p>
      <w:pPr>
        <w:ind w:firstLine="482"/>
        <w:spacing w:line="460" w:lineRule="exact"/>
        <w:rPr>
          <w:rFonts w:ascii="宋体" w:hAnsi="宋体" w:eastAsia="宋体" w:cs="宋体"/>
          <w:bCs/>
          <w:sz w:val="24"/>
        </w:rPr>
      </w:pPr>
      <w:r>
        <w:rPr>
          <w:rFonts w:hint="eastAsia" w:ascii="宋体" w:hAnsi="宋体" w:eastAsia="宋体" w:cs="宋体"/>
          <w:bCs/>
          <w:sz w:val="24"/>
        </w:rPr>
        <w:t xml:space="preserve">2.2 潜在投标人访问“苏采云”系统方法：江苏省政府采购网首页-“苏采云”链接。 </w:t>
      </w:r>
      <w:r/>
    </w:p>
    <w:p>
      <w:pPr>
        <w:ind w:firstLine="482"/>
        <w:spacing w:line="460" w:lineRule="exact"/>
        <w:rPr>
          <w:rFonts w:ascii="宋体" w:hAnsi="宋体" w:eastAsia="宋体" w:cs="宋体"/>
          <w:bCs/>
          <w:sz w:val="24"/>
        </w:rPr>
      </w:pPr>
      <w:r>
        <w:rPr>
          <w:rFonts w:hint="eastAsia" w:ascii="宋体" w:hAnsi="宋体" w:eastAsia="宋体" w:cs="宋体"/>
          <w:bCs/>
          <w:sz w:val="24"/>
        </w:rPr>
        <w:t xml:space="preserve">2.3 招标文件（后缀名为“.kedt”）、供应商操作手册及政府采购客户端工具可通过“苏采云”系统相应链接进行下载。 </w:t>
      </w:r>
      <w:r/>
    </w:p>
    <w:p>
      <w:pPr>
        <w:ind w:firstLine="482"/>
        <w:spacing w:line="460" w:lineRule="exact"/>
        <w:rPr>
          <w:rFonts w:ascii="宋体" w:hAnsi="宋体" w:eastAsia="宋体" w:cs="宋体"/>
          <w:bCs/>
          <w:sz w:val="24"/>
        </w:rPr>
      </w:pPr>
      <w:r>
        <w:rPr>
          <w:rFonts w:hint="eastAsia" w:ascii="宋体" w:hAnsi="宋体" w:eastAsia="宋体" w:cs="宋体"/>
          <w:bCs/>
          <w:sz w:val="24"/>
        </w:rPr>
        <w:t xml:space="preserve">2.4 采购代理机构将数据电文形式的招标文件加载至“苏采云”系统，供潜在供应商下载或者查阅。 </w:t>
      </w:r>
      <w:r/>
    </w:p>
    <w:p>
      <w:pPr>
        <w:ind w:firstLine="482"/>
        <w:spacing w:line="460" w:lineRule="exact"/>
        <w:rPr>
          <w:rFonts w:ascii="宋体" w:hAnsi="宋体" w:eastAsia="宋体" w:cs="宋体"/>
          <w:bCs/>
          <w:sz w:val="24"/>
        </w:rPr>
      </w:pPr>
      <w:r>
        <w:rPr>
          <w:rFonts w:hint="eastAsia" w:ascii="宋体" w:hAnsi="宋体" w:eastAsia="宋体" w:cs="宋体"/>
          <w:bCs/>
          <w:sz w:val="24"/>
        </w:rPr>
        <w:t xml:space="preserve">2.5 请潜在投标单位提前安装相应的控件（详见《“苏采云”系统供应商操作手册》）并使用谷歌浏览器登录“苏采云”系统参与不见面开评标。 </w:t>
      </w:r>
      <w:r/>
    </w:p>
    <w:p>
      <w:pPr>
        <w:ind w:firstLine="482"/>
        <w:spacing w:line="460" w:lineRule="exact"/>
        <w:rPr>
          <w:rFonts w:ascii="宋体" w:hAnsi="宋体" w:eastAsia="宋体" w:cs="宋体"/>
          <w:bCs/>
          <w:sz w:val="24"/>
        </w:rPr>
      </w:pPr>
      <w:r>
        <w:rPr>
          <w:rFonts w:hint="eastAsia" w:ascii="宋体" w:hAnsi="宋体" w:eastAsia="宋体" w:cs="宋体"/>
          <w:bCs/>
          <w:sz w:val="24"/>
        </w:rPr>
        <w:t xml:space="preserve">如潜在投标人未按上述要求操作，将自行承担所产生的风险。</w:t>
      </w:r>
      <w:r/>
    </w:p>
    <w:p>
      <w:pPr>
        <w:ind w:firstLine="482"/>
        <w:spacing w:line="460" w:lineRule="exact"/>
        <w:rPr>
          <w:rFonts w:ascii="宋体" w:hAnsi="宋体" w:eastAsia="宋体" w:cs="宋体"/>
          <w:bCs/>
          <w:sz w:val="24"/>
        </w:rPr>
      </w:pPr>
      <w:r>
        <w:rPr>
          <w:rFonts w:hint="eastAsia" w:ascii="宋体" w:hAnsi="宋体" w:eastAsia="宋体" w:cs="宋体"/>
          <w:bCs/>
          <w:sz w:val="24"/>
        </w:rPr>
        <w:t xml:space="preserve">3、有关本次招标的事项若存在变动或修改，敬请及时关注在 “中国政府采购网”、“江苏政府采购网”、“盐城市政府采购网”发布的更正公告。</w:t>
      </w:r>
      <w:r/>
    </w:p>
    <w:p>
      <w:pPr>
        <w:ind w:firstLine="482"/>
        <w:spacing w:line="460" w:lineRule="exact"/>
        <w:rPr>
          <w:rFonts w:ascii="宋体" w:hAnsi="宋体" w:eastAsia="宋体" w:cs="宋体"/>
          <w:bCs/>
          <w:sz w:val="24"/>
        </w:rPr>
      </w:pPr>
      <w:r>
        <w:rPr>
          <w:rFonts w:hint="eastAsia" w:ascii="宋体" w:hAnsi="宋体" w:eastAsia="宋体" w:cs="宋体"/>
          <w:bCs/>
          <w:sz w:val="24"/>
        </w:rPr>
        <w:t xml:space="preserve">4、投标人不得提供虚假材料谋取中标的或采取不正当手段诋毁、排挤其他供应商。</w:t>
      </w:r>
      <w:r/>
    </w:p>
    <w:p>
      <w:pPr>
        <w:ind w:firstLine="482"/>
        <w:spacing w:line="460" w:lineRule="exact"/>
        <w:rPr>
          <w:rFonts w:ascii="宋体" w:hAnsi="宋体" w:eastAsia="宋体" w:cs="宋体"/>
          <w:bCs/>
          <w:sz w:val="24"/>
        </w:rPr>
      </w:pPr>
      <w:r>
        <w:rPr>
          <w:rFonts w:hint="eastAsia" w:ascii="宋体" w:hAnsi="宋体" w:eastAsia="宋体" w:cs="宋体"/>
          <w:bCs/>
          <w:sz w:val="24"/>
        </w:rPr>
        <w:t xml:space="preserve">5、投标人存在串通投标、以他人名义投标、弄虚作假等违法违规行为，或者无正当理由放弃投标、中标资格，造成项目招标失败的，不得参加该项目重新招标的投标。</w:t>
      </w:r>
      <w:r/>
    </w:p>
    <w:p>
      <w:pPr>
        <w:ind w:firstLine="482"/>
        <w:spacing w:line="460" w:lineRule="exact"/>
        <w:rPr>
          <w:rFonts w:ascii="宋体" w:hAnsi="宋体" w:eastAsia="宋体" w:cs="宋体"/>
          <w:bCs/>
          <w:sz w:val="24"/>
        </w:rPr>
      </w:pPr>
      <w:r>
        <w:rPr>
          <w:rFonts w:hint="eastAsia" w:ascii="宋体" w:hAnsi="宋体" w:eastAsia="宋体" w:cs="宋体"/>
          <w:bCs/>
          <w:sz w:val="24"/>
        </w:rPr>
        <w:t xml:space="preserve">6、因投标人的系统环境、操作等原因导致项目参与、开评标过程中出现问题由投标人自行承担负责。</w:t>
      </w:r>
      <w:r/>
    </w:p>
    <w:p>
      <w:pPr>
        <w:ind w:firstLine="482"/>
        <w:spacing w:line="460" w:lineRule="exact"/>
        <w:rPr>
          <w:rFonts w:ascii="宋体" w:hAnsi="宋体" w:eastAsia="宋体" w:cs="宋体"/>
          <w:bCs/>
          <w:sz w:val="24"/>
        </w:rPr>
      </w:pPr>
      <w:r>
        <w:rPr>
          <w:rFonts w:hint="eastAsia" w:ascii="宋体" w:hAnsi="宋体" w:eastAsia="宋体" w:cs="宋体"/>
          <w:bCs/>
          <w:sz w:val="24"/>
        </w:rPr>
        <w:t xml:space="preserve">7、本项目不收取投标保证金。</w:t>
      </w:r>
      <w:r/>
    </w:p>
    <w:p>
      <w:pPr>
        <w:pStyle w:val="676"/>
        <w:jc w:val="both"/>
        <w:spacing w:before="260" w:after="260" w:line="553"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19" w:name="_Toc207091887"/>
      <w:r/>
      <w:bookmarkStart w:id="20" w:name="_Toc185584260"/>
      <w:r/>
      <w:bookmarkStart w:id="21" w:name="_Toc207118513"/>
      <w:r>
        <w:rPr>
          <w:rFonts w:hint="eastAsia" w:ascii="宋体" w:hAnsi="宋体" w:eastAsia="宋体" w:cs="宋体"/>
          <w:color w:val="000000"/>
          <w:sz w:val="24"/>
          <w:szCs w:val="24"/>
        </w:rPr>
        <w:t xml:space="preserve">七、对本次招标提出询问，请按以下方式联系。</w:t>
      </w:r>
      <w:bookmarkEnd w:id="19"/>
      <w:r/>
      <w:bookmarkEnd w:id="20"/>
      <w:r/>
      <w:bookmarkEnd w:id="21"/>
      <w:r/>
      <w:r/>
    </w:p>
    <w:p>
      <w:pPr>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1.采购人信息</w:t>
      </w:r>
      <w:r/>
    </w:p>
    <w:p>
      <w:pPr>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单位名称：盐城市发展和改革委员会</w:t>
      </w:r>
      <w:r/>
    </w:p>
    <w:p>
      <w:pPr>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单位地址：</w:t>
      </w:r>
      <w:r>
        <w:rPr>
          <w:rFonts w:hint="eastAsia" w:ascii="宋体" w:hAnsi="宋体"/>
          <w:sz w:val="24"/>
        </w:rPr>
        <w:t xml:space="preserve">盐城市世纪大道21号</w:t>
      </w:r>
      <w:r/>
    </w:p>
    <w:p>
      <w:pPr>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w:t>
      </w:r>
      <w:r>
        <w:rPr>
          <w:rFonts w:hint="eastAsia" w:ascii="宋体" w:hAnsi="宋体" w:cs="宋体"/>
          <w:sz w:val="24"/>
          <w:szCs w:val="24"/>
        </w:rPr>
        <w:t xml:space="preserve">王先生</w:t>
      </w:r>
      <w:r/>
    </w:p>
    <w:p>
      <w:pPr>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联系电话：</w:t>
      </w:r>
      <w:r>
        <w:rPr>
          <w:rFonts w:hint="eastAsia" w:ascii="宋体" w:hAnsi="宋体" w:cs="宋体"/>
          <w:sz w:val="24"/>
          <w:szCs w:val="24"/>
        </w:rPr>
        <w:t xml:space="preserve">18932286885</w:t>
      </w:r>
      <w:r/>
    </w:p>
    <w:p>
      <w:pPr>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2.采购代理机构信息</w:t>
      </w:r>
      <w:r/>
    </w:p>
    <w:p>
      <w:pPr>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名    称：江苏仁禾中衡工程咨询房地产估价有限公司</w:t>
      </w:r>
      <w:r/>
    </w:p>
    <w:p>
      <w:pPr>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　　址：盐城市青年西路8号</w:t>
      </w:r>
      <w:r>
        <w:rPr>
          <w:rFonts w:hint="eastAsia" w:ascii="宋体" w:hAnsi="宋体" w:eastAsia="宋体" w:cs="宋体"/>
          <w:color w:val="000000"/>
          <w:sz w:val="24"/>
          <w:szCs w:val="24"/>
        </w:rPr>
        <w:t xml:space="preserve">609室</w:t>
      </w:r>
      <w:r/>
    </w:p>
    <w:p>
      <w:pPr>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 系 人：王国书</w:t>
      </w:r>
      <w:r/>
    </w:p>
    <w:p>
      <w:pPr>
        <w:spacing w:before="240" w:after="240"/>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联系电话：15722480305</w:t>
      </w:r>
      <w:r/>
    </w:p>
    <w:p>
      <w:pPr>
        <w:spacing w:before="240" w:after="240"/>
        <w:rPr>
          <w:rFonts w:ascii="仿宋" w:hAnsi="仿宋" w:eastAsia="仿宋" w:cs="仿宋"/>
          <w:color w:val="000000"/>
          <w:sz w:val="28"/>
          <w:szCs w:val="28"/>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szCs w:val="28"/>
        </w:rPr>
      </w:r>
      <w:r/>
    </w:p>
    <w:p>
      <w:pPr>
        <w:rPr>
          <w:sz w:val="24"/>
          <w:szCs w:val="24"/>
        </w:rPr>
      </w:pPr>
      <w:r>
        <w:rPr>
          <w:rFonts w:ascii="宋体" w:hAnsi="宋体" w:eastAsia="宋体" w:cs="宋体"/>
          <w:b/>
          <w:color w:val="000000"/>
          <w:sz w:val="44"/>
        </w:rPr>
        <w:br w:type="page" w:clear="all"/>
      </w:r>
      <w:r/>
    </w:p>
    <w:p>
      <w:pPr>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bookmarkStart w:id="22" w:name="_Toc207118514"/>
      <w:r>
        <w:rPr>
          <w:rFonts w:ascii="宋体" w:hAnsi="宋体" w:eastAsia="宋体" w:cs="宋体"/>
          <w:color w:val="000000"/>
          <w:sz w:val="44"/>
        </w:rPr>
        <w:t xml:space="preserve">第二章</w:t>
      </w:r>
      <w:r>
        <w:rPr>
          <w:rFonts w:hint="eastAsia" w:ascii="宋体" w:hAnsi="宋体" w:eastAsia="宋体" w:cs="宋体"/>
          <w:color w:val="000000"/>
          <w:sz w:val="44"/>
        </w:rPr>
        <w:t xml:space="preserve"> </w:t>
      </w:r>
      <w:r>
        <w:rPr>
          <w:rFonts w:ascii="宋体" w:hAnsi="宋体" w:eastAsia="宋体" w:cs="宋体"/>
          <w:color w:val="000000"/>
          <w:sz w:val="44"/>
        </w:rPr>
        <w:t xml:space="preserve">投标人须知</w:t>
      </w:r>
      <w:bookmarkEnd w:id="22"/>
      <w:r/>
      <w:r/>
    </w:p>
    <w:p>
      <w:pPr>
        <w:ind w:firstLine="643"/>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1、招标方式</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1.1本次招标采取公开招标方式，本招标文件仅适用于招标公告中所述项目。</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2、合格的投标人</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满足本文件实质性要求和条件的规定。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3、适用法律</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4、投标费用</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4.1投标人应自行承担所有与参加投标有关的费用，无论投标过程中的做法和结果如何，</w:t>
      </w:r>
      <w:r>
        <w:rPr>
          <w:rFonts w:hint="eastAsia" w:ascii="宋体" w:hAnsi="宋体" w:eastAsia="宋体" w:cs="宋体"/>
          <w:color w:val="000000"/>
          <w:sz w:val="24"/>
        </w:rPr>
        <w:t xml:space="preserve">盐城市发展和改革委员会</w:t>
      </w:r>
      <w:r>
        <w:rPr>
          <w:rFonts w:ascii="宋体" w:hAnsi="宋体" w:eastAsia="宋体" w:cs="宋体"/>
          <w:color w:val="000000"/>
          <w:sz w:val="24"/>
        </w:rPr>
        <w:t xml:space="preserve">（以下简称采购人）和</w:t>
      </w:r>
      <w:r>
        <w:rPr>
          <w:rFonts w:hint="eastAsia" w:ascii="宋体" w:hAnsi="宋体" w:eastAsia="宋体" w:cs="宋体"/>
          <w:color w:val="000000"/>
          <w:sz w:val="24"/>
        </w:rPr>
        <w:t xml:space="preserve">江苏仁禾中衡工程咨询房地产估价有限公司</w:t>
      </w:r>
      <w:r>
        <w:rPr>
          <w:rFonts w:ascii="宋体" w:hAnsi="宋体" w:eastAsia="宋体" w:cs="宋体"/>
          <w:color w:val="000000"/>
          <w:sz w:val="24"/>
        </w:rPr>
        <w:t xml:space="preserve">（以下简称采购代理机构）在任何情况下均无义务和责任承担这些费用。</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w:t>
      </w:r>
      <w:r>
        <w:rPr>
          <w:rFonts w:hint="eastAsia" w:ascii="宋体" w:hAnsi="宋体" w:eastAsia="宋体" w:cs="宋体"/>
          <w:color w:val="000000"/>
          <w:sz w:val="24"/>
        </w:rPr>
        <w:t xml:space="preserve">根据代理合同约定的收费标准的45%收取代理服务费，即50万元以内按1万元的45%计取，50万-400万元按（成交总价减去50万元）的1.5%的45%计取，由</w:t>
      </w:r>
      <w:r>
        <w:rPr>
          <w:rFonts w:hint="eastAsia" w:ascii="宋体" w:hAnsi="宋体" w:eastAsia="宋体" w:cs="宋体"/>
          <w:color w:val="000000"/>
          <w:sz w:val="24"/>
          <w:lang w:val="en-US" w:eastAsia="zh-CN"/>
        </w:rPr>
        <w:t xml:space="preserve">采购人</w:t>
      </w:r>
      <w:r>
        <w:rPr>
          <w:rFonts w:hint="eastAsia" w:ascii="宋体" w:hAnsi="宋体" w:eastAsia="宋体" w:cs="宋体"/>
          <w:color w:val="000000"/>
          <w:sz w:val="24"/>
        </w:rPr>
        <w:t xml:space="preserve">向代理公司支付。</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5、招标文件的约束力</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5.1投标人一旦参加本项目采购活动，即被认为接受了本招标文件的规定和约束。</w:t>
      </w:r>
      <w:r/>
    </w:p>
    <w:p>
      <w:pPr>
        <w:ind w:firstLine="643"/>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6、招标文件构成</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6.1招标文件由以下部分组成：</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（1）招标公告</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请仔细检查招标文件是否齐全，如有缺漏请立即与采购人或采购代理机构联系解决。</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7、招标文件的澄清</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7.1任何要求对招标文件进行澄清的投标人，应在投标截止</w:t>
      </w:r>
      <w:r>
        <w:rPr>
          <w:rFonts w:hint="eastAsia" w:ascii="宋体" w:hAnsi="宋体" w:eastAsia="宋体" w:cs="宋体"/>
          <w:color w:val="000000"/>
          <w:sz w:val="24"/>
        </w:rPr>
        <w:t xml:space="preserve">日期</w:t>
      </w:r>
      <w:r>
        <w:rPr>
          <w:rFonts w:ascii="宋体" w:hAnsi="宋体" w:eastAsia="宋体" w:cs="宋体"/>
          <w:color w:val="000000"/>
          <w:sz w:val="24"/>
        </w:rPr>
        <w:t xml:space="preserve">十日前按招标公告中的通讯地址，以书面形式通知采购人或采购代理机构。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8、招标文件的修改</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8.1在投标截止时间前，采购人可以对招标文件进行修改。</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采购人有权按照法定的要求推迟投标截止日期和开标日期。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8.3 招标文件的修改将在中国政府采购网、江苏政府采购网、盐城市政府采购网公布，补充文件将作为招标文件的组成部分，并对投标人具有约束力。</w:t>
      </w:r>
      <w:r/>
    </w:p>
    <w:p>
      <w:pPr>
        <w:ind w:firstLine="643"/>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9、投标文件的语言及度量衡单位</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9.1投标人提交的投标文件以及投标人与采购人就有关投标的所有来往通知、函件和文件均应使用简体中文。</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9.2除技术性能另有规定外，投标文件所使用的度量衡单位，均须采用国家法定计量单位。</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10、投标文件构成</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11、证明投标人及投标标的符合招标文件规定的文件</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11.1投标人应按照招标文件要求提交证明文件，证明其及投标标的符合招标文件规定。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11.2招标文件对证明文件无明确形式要求的，证明文件可以以文字资料、图纸和数据等形式提交。</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12、投标分项报价表</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12.1投标人应按照招标文件规定格式填报投标分项报价表。</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12.2投标货币。投标文件中的单价和总价无特殊规定的采用人民币报价，以元为单位标注。招标文件中另有规定的按规定执行。</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13、技术要求响应及偏离表、商务要求响应及偏离表</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13.1投标人需对招标文件中的技术要求与商务要求逐项作出响应或偏离，并说明原因。</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13.2投标人可在投标文件中提供认为需要的其他技术文件或说明。</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14、服务承诺、培训计划、人员安排及其他</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14.1投标人需根据招标文件要求提供有关售后服务的管理制度，售后服务机构的分布情况，售后服务人员的数量、素质、技术水平及售后服务的反应能力等。</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14.2投标人需根据招标文件要求提供培训计划</w:t>
      </w:r>
      <w:r>
        <w:rPr>
          <w:rFonts w:hint="eastAsia" w:ascii="宋体" w:hAnsi="宋体" w:eastAsia="宋体" w:cs="宋体"/>
          <w:color w:val="000000"/>
          <w:sz w:val="24"/>
        </w:rPr>
        <w:t xml:space="preserve">（如有）</w:t>
      </w:r>
      <w:r>
        <w:rPr>
          <w:rFonts w:ascii="宋体" w:hAnsi="宋体" w:eastAsia="宋体" w:cs="宋体"/>
          <w:color w:val="000000"/>
          <w:sz w:val="24"/>
        </w:rPr>
        <w:t xml:space="preserve">。</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14.3投标人需根据招标文件要求提供所投标的的主要组成部分、功能设计、实现思路及关键技术等。</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15、投标函和开标一览表</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15.1投标人应按照招标文件中提供的格式完整、正确填写投标函、开标一览表。</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15.2对于采用货币报价的项目，开标一览表中的投标总报价应与投标分项报价表中的投标总报价一致，如不一致，不作为无效投标处理，但评标时按开标一览表中价格为准。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16、投标有效期</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16.1投标有效期为采购人规定的开标之日后</w:t>
      </w:r>
      <w:r>
        <w:rPr>
          <w:rFonts w:hint="eastAsia" w:ascii="宋体" w:hAnsi="宋体" w:eastAsia="宋体" w:cs="宋体"/>
          <w:color w:val="000000"/>
          <w:sz w:val="24"/>
          <w:u w:val="single"/>
        </w:rPr>
        <w:t xml:space="preserve">六十（60）</w:t>
      </w:r>
      <w:r>
        <w:rPr>
          <w:rFonts w:hint="eastAsia" w:ascii="宋体" w:hAnsi="宋体" w:eastAsia="宋体" w:cs="宋体"/>
          <w:color w:val="000000"/>
          <w:sz w:val="24"/>
        </w:rPr>
        <w:t xml:space="preserve">天</w:t>
      </w:r>
      <w:r>
        <w:rPr>
          <w:rFonts w:ascii="宋体" w:hAnsi="宋体" w:eastAsia="宋体" w:cs="宋体"/>
          <w:color w:val="000000"/>
          <w:sz w:val="24"/>
        </w:rPr>
        <w:t xml:space="preserve">。投标有效期比规定短的将被视为未实质性响应招标文件而予以拒绝。</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17、投标有效期的延长</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643"/>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18、电子投标文件的递交</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18.1投标人应当按照《操作手册》规定，在投标截止时间前制作并上传电子投标文件。</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19、投标截止日期</w:t>
      </w:r>
      <w:r/>
    </w:p>
    <w:p>
      <w:pPr>
        <w:ind w:firstLine="480"/>
        <w:spacing w:line="360" w:lineRule="auto"/>
        <w:rPr>
          <w:rFonts w:ascii="宋体" w:hAnsi="宋体" w:eastAsia="宋体" w:cs="宋体"/>
          <w:i/>
          <w:iCs/>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i/>
          <w:iCs/>
          <w:color w:val="000000"/>
          <w:sz w:val="24"/>
          <w:u w:val="single"/>
        </w:rPr>
        <w:t xml:space="preserve">19.1 投标人上传电子投标文件的时间不得迟于招标公告中规定的投标截止时间。</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采购人可以按照规定，通过修改招标文件酌情延长投标截止日期，在此情况下，投标人的所有权利和义务以及投标人受制的截止日期均应以延长后新的截止日期为准。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20、投标文件的拒收</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20.1采购人拒绝接收在其规定的投标截止时间后上传的任何投标文件。</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21、投标文件的撤回和修改</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21.1投标文件的撤回</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21.1.1电子投标文件的撤回</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21.1.2投标人撤回电子投标文件，则认为其不再参与本项目投标活动。</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 投标文件的修改</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21.2.1投标人可在投标截止时间前，对其电子投标文件进行修改，具体操作方法见《操作手册》。</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21.2.2在投标截止时间之后，投标人不得对其电子投标文件作任何修改。</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21.3在投标截止时间至招标文件中规定的投标有效期满之间的这段时间内，投标人不得撤回其投标。</w:t>
      </w:r>
      <w:r/>
    </w:p>
    <w:p>
      <w:pPr>
        <w:ind w:firstLine="643"/>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22、开标</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22.1采购人将在招标公告中规定的时间和地点组织公开开标。投标人应当按照《操作手册》规定，参加开标活动和在苏采云系统规定的时间内对投标文件进行解密。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22.2开标仪式由采购代理机构组织。苏采云系统将自动对项目进行开标，并宣布各投标人名称和投标价格。</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22.3投标人在开标过程中涉及到的投标文件解密、开标结果确认等工作，应按照《操作手册》规定执行。</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22.4投标人如果对开标过程和开标记录有疑义，应当根据《操作手册》规定提出，如苏采云系统中《开标记录表》宣布后5分钟内未提出的，视同认可开标结果。</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23、评标委员会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23.1开标后，采购代理机构将立即组织评标委员会（以下简称评委会）进行评标。</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23.2评委会由采购人代表和有关技术、经济等方面的专家组成，且人员构成符合政府采购有关规定。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23.3评委会独立工作，负责评审所有投标文件并确定中标</w:t>
      </w:r>
      <w:r>
        <w:rPr>
          <w:rFonts w:hint="eastAsia" w:ascii="宋体" w:hAnsi="宋体" w:eastAsia="宋体" w:cs="宋体"/>
          <w:color w:val="000000"/>
          <w:sz w:val="24"/>
        </w:rPr>
        <w:t xml:space="preserve">候</w:t>
      </w:r>
      <w:r>
        <w:rPr>
          <w:rFonts w:ascii="宋体" w:hAnsi="宋体" w:eastAsia="宋体" w:cs="宋体"/>
          <w:color w:val="000000"/>
          <w:sz w:val="24"/>
        </w:rPr>
        <w:t xml:space="preserve">选人。</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24．评标过程的保密与公正</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24.2在评标过程中，投标人不得以任何行为影响评标过程，否则其投标文件将被作为无效投标文件。</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24.3采购代理机构和评标委员会不向未中标的投标人解释未中标原因，也不公布评标过程中的相关细节。</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24.4采用综合评分法的项目，未中标的投标人可于中标结果公告期限届满之日起通过苏采云系统查看自己的评审得分及排序情况。</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25．投标文件的澄清</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投标人的澄清、说明或者补正不得超出投标文件的范围或者改变投标文件的实质性内容。</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评标委员会并非对每个投标人都做澄清要求。</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25.3接到评委会澄清、说明和补正要求的投标人如未按规定做出澄清、说明和补正，其风险由投标人自行承担。</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26、对投标文件的初审</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26.1投标文件初审分为资格审查和符合性审查。</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26.1.1资格审查：依据法律法规和招标文件的规定，由采购</w:t>
      </w:r>
      <w:r>
        <w:rPr>
          <w:rFonts w:hint="eastAsia" w:ascii="宋体" w:hAnsi="宋体" w:eastAsia="宋体" w:cs="宋体"/>
          <w:color w:val="000000"/>
          <w:sz w:val="24"/>
        </w:rPr>
        <w:t xml:space="preserve">人</w:t>
      </w:r>
      <w:r>
        <w:rPr>
          <w:rFonts w:ascii="宋体" w:hAnsi="宋体" w:eastAsia="宋体" w:cs="宋体"/>
          <w:color w:val="000000"/>
          <w:sz w:val="24"/>
        </w:rPr>
        <w:t xml:space="preserve">对投标文件中的资格证明文件进行审查。资格审查的结论，采购代理机构以书面形式向评委会进行反馈。</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w:t>
      </w:r>
      <w:r>
        <w:rPr>
          <w:rFonts w:hint="eastAsia" w:ascii="宋体" w:hAnsi="宋体" w:eastAsia="宋体" w:cs="宋体"/>
          <w:color w:val="000000"/>
          <w:sz w:val="24"/>
        </w:rPr>
        <w:t xml:space="preserve">人</w:t>
      </w:r>
      <w:r>
        <w:rPr>
          <w:rFonts w:ascii="宋体" w:hAnsi="宋体" w:eastAsia="宋体" w:cs="宋体"/>
          <w:color w:val="000000"/>
          <w:sz w:val="24"/>
        </w:rPr>
        <w:t xml:space="preserve">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26.1.3未通过资格审查或符合性审查的投标人，采购</w:t>
      </w:r>
      <w:r>
        <w:rPr>
          <w:rFonts w:hint="eastAsia" w:ascii="宋体" w:hAnsi="宋体" w:eastAsia="宋体" w:cs="宋体"/>
          <w:color w:val="000000"/>
          <w:sz w:val="24"/>
        </w:rPr>
        <w:t xml:space="preserve">人</w:t>
      </w:r>
      <w:r>
        <w:rPr>
          <w:rFonts w:ascii="宋体" w:hAnsi="宋体" w:eastAsia="宋体" w:cs="宋体"/>
          <w:color w:val="000000"/>
          <w:sz w:val="24"/>
        </w:rPr>
        <w:t xml:space="preserve">将在苏采云系统中告知未通过资格审查或符合性审查的原因，评审结束后，采购</w:t>
      </w:r>
      <w:r>
        <w:rPr>
          <w:rFonts w:hint="eastAsia" w:ascii="宋体" w:hAnsi="宋体" w:eastAsia="宋体" w:cs="宋体"/>
          <w:color w:val="000000"/>
          <w:sz w:val="24"/>
        </w:rPr>
        <w:t xml:space="preserve">人</w:t>
      </w:r>
      <w:r>
        <w:rPr>
          <w:rFonts w:ascii="宋体" w:hAnsi="宋体" w:eastAsia="宋体" w:cs="宋体"/>
          <w:color w:val="000000"/>
          <w:sz w:val="24"/>
        </w:rPr>
        <w:t xml:space="preserve">将不再告知未通过资格审查或符合性审查的原因。</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26.4评委会将对确定为实质性响应的投标进行进一步审核，看其是否有计算上或累加上的算术错误，修正错误的原则如下：</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非单一产品采购项目，招标文件中将载明其中的核心产品。多家投标人提供的核心产品品牌相同的，按前两款规定处理。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26.7投标人在开、评标全过程中应保持通讯畅通，及时登录苏采云系统查阅、答复相关信息，并安排专人与采购代理机构及评标委员会联系。</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27、无效投标条款和废标条款</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27.1无效投标条款</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27.1.1投标人在苏采云系统规定的时间内未成功解密电子投标文件的。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27.1.2投标人未按照招标文件要求上传电子投标文件的。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27.1.3同一投标人提交两个（含两个）以上不同的投标报价的。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27.1.4投标人不具备招标文件中规定资格要求的。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27.1.5投标人的报价超过了采购预算或最高限价的。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27.1.6未通过符合性审查的。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27.1.7不符合招标文件中规定的实质性要求和条件的</w:t>
      </w:r>
      <w:r>
        <w:rPr>
          <w:rFonts w:ascii="宋体" w:hAnsi="宋体" w:eastAsia="宋体" w:cs="宋体"/>
          <w:i/>
          <w:iCs/>
          <w:color w:val="000000"/>
          <w:sz w:val="24"/>
          <w:u w:val="single"/>
        </w:rPr>
        <w:t xml:space="preserve">（</w:t>
      </w:r>
      <w:bookmarkStart w:id="23" w:name="OLE_LINK8"/>
      <w:r/>
      <w:bookmarkStart w:id="24" w:name="OLE_LINK7"/>
      <w:r>
        <w:rPr>
          <w:rFonts w:ascii="宋体" w:hAnsi="宋体" w:eastAsia="宋体" w:cs="宋体"/>
          <w:i/>
          <w:iCs/>
          <w:color w:val="000000"/>
          <w:sz w:val="24"/>
          <w:u w:val="single"/>
        </w:rPr>
        <w:t xml:space="preserve">本招标文件中斜体且有下划线部分为实质性要求和条件</w:t>
      </w:r>
      <w:bookmarkEnd w:id="23"/>
      <w:r/>
      <w:bookmarkEnd w:id="24"/>
      <w:r>
        <w:rPr>
          <w:rFonts w:ascii="宋体" w:hAnsi="宋体" w:eastAsia="宋体" w:cs="宋体"/>
          <w:i/>
          <w:iCs/>
          <w:color w:val="000000"/>
          <w:sz w:val="24"/>
          <w:u w:val="single"/>
        </w:rPr>
        <w:t xml:space="preserve">）</w:t>
      </w:r>
      <w:r>
        <w:rPr>
          <w:rFonts w:ascii="宋体" w:hAnsi="宋体" w:eastAsia="宋体" w:cs="宋体"/>
          <w:color w:val="000000"/>
          <w:sz w:val="24"/>
        </w:rPr>
        <w:t xml:space="preserve">。</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27.1.9投标文件含有采购人不能接受的附加条件的。</w:t>
      </w:r>
      <w:r/>
    </w:p>
    <w:p>
      <w:pPr>
        <w:ind w:firstLine="480"/>
        <w:spacing w:line="360" w:lineRule="auto"/>
        <w:rPr>
          <w:rFonts w:ascii="宋体" w:hAnsi="宋体" w:eastAsia="宋体" w:cs="宋体"/>
          <w:sz w:val="24"/>
        </w:rPr>
      </w:pPr>
      <w:r>
        <w:rPr>
          <w:rFonts w:hint="eastAsia" w:ascii="宋体" w:hAnsi="宋体" w:eastAsia="宋体" w:cs="宋体"/>
          <w:sz w:val="24"/>
        </w:rPr>
        <w:t xml:space="preserve">27.1.10投标人不能证明其报价合理性的，评标委员会应当将其作为无效投标处理。</w:t>
      </w:r>
      <w:r/>
    </w:p>
    <w:p>
      <w:pPr>
        <w:ind w:firstLine="480"/>
        <w:spacing w:line="360" w:lineRule="auto"/>
        <w:rPr>
          <w:rFonts w:ascii="宋体" w:hAnsi="宋体" w:eastAsia="宋体" w:cs="宋体"/>
          <w:sz w:val="24"/>
        </w:rPr>
      </w:pPr>
      <w:r>
        <w:rPr>
          <w:rFonts w:hint="eastAsia" w:ascii="宋体" w:hAnsi="宋体" w:eastAsia="宋体" w:cs="宋体"/>
          <w:sz w:val="24"/>
        </w:rPr>
        <w:t xml:space="preserve">（一）评审过程中出现下列情形之一的，评标委员会应当启动异常低价投标审查程序：</w:t>
      </w:r>
      <w:r/>
    </w:p>
    <w:p>
      <w:pPr>
        <w:ind w:firstLine="480"/>
        <w:spacing w:line="360" w:lineRule="auto"/>
        <w:rPr>
          <w:rFonts w:ascii="宋体" w:hAnsi="宋体" w:eastAsia="宋体" w:cs="宋体"/>
          <w:sz w:val="24"/>
        </w:rPr>
      </w:pPr>
      <w:r>
        <w:rPr>
          <w:rFonts w:hint="eastAsia" w:ascii="宋体" w:hAnsi="宋体" w:eastAsia="宋体" w:cs="宋体"/>
          <w:sz w:val="24"/>
        </w:rPr>
        <w:t xml:space="preserve">1.投标报价低于采购项目预算50%的，即投标报价&lt;采购项目预算×50%；</w:t>
      </w:r>
      <w:r/>
    </w:p>
    <w:p>
      <w:pPr>
        <w:ind w:firstLine="480"/>
        <w:spacing w:line="360" w:lineRule="auto"/>
        <w:rPr>
          <w:rFonts w:ascii="宋体" w:hAnsi="宋体" w:eastAsia="宋体" w:cs="宋体"/>
          <w:sz w:val="24"/>
        </w:rPr>
      </w:pPr>
      <w:r>
        <w:rPr>
          <w:rFonts w:hint="eastAsia" w:ascii="宋体" w:hAnsi="宋体" w:eastAsia="宋体" w:cs="宋体"/>
          <w:sz w:val="24"/>
        </w:rPr>
        <w:t xml:space="preserve">2.投标报价低于采购项目最高限价45%的，即投标报价&lt;采购项目最高限价×45%；</w:t>
      </w:r>
      <w:r/>
    </w:p>
    <w:p>
      <w:pPr>
        <w:ind w:firstLine="480"/>
        <w:spacing w:line="360" w:lineRule="auto"/>
        <w:rPr>
          <w:rFonts w:ascii="宋体" w:hAnsi="宋体" w:eastAsia="宋体" w:cs="宋体"/>
          <w:sz w:val="24"/>
        </w:rPr>
      </w:pPr>
      <w:r>
        <w:rPr>
          <w:rFonts w:hint="eastAsia" w:ascii="宋体" w:hAnsi="宋体" w:eastAsia="宋体" w:cs="宋体"/>
          <w:sz w:val="24"/>
        </w:rPr>
        <w:t xml:space="preserve">3.评标委员会认定的供应商报价过低、有可能影响产品质量或者不能诚信履约的其他情形。</w:t>
      </w:r>
      <w:r/>
    </w:p>
    <w:p>
      <w:pPr>
        <w:ind w:firstLine="480"/>
        <w:spacing w:line="360" w:lineRule="auto"/>
        <w:rPr>
          <w:rFonts w:ascii="宋体" w:hAnsi="宋体" w:eastAsia="宋体" w:cs="宋体"/>
          <w:sz w:val="24"/>
        </w:rPr>
      </w:pPr>
      <w:r>
        <w:rPr>
          <w:rFonts w:hint="eastAsia" w:ascii="宋体" w:hAnsi="宋体" w:eastAsia="宋体" w:cs="宋体"/>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27.1.12投标文件未按照招标文件要求加盖CA电子公章的。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27.1.13其他法律、法规及本招标文件规定的属无效投标的情形。</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27.2废标条款</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27.2.1符合专业条件的供应商或者对招标文件作实质响应的供应商不足三家的。27.2.2出现影响采购公正的违法、违规行为的。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27.2.3因重大变故，采购任务取消的。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27.2.4评标委员会认定招标文件存在歧义、重大缺陷导致评审工作无法进行。</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27.2.5因苏采云系统系统故障原因造成开标不成功的。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27.3投标截止时间结束后参加投标的供应商不足三家的处理：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27.3.1如出现投标截止时间结束后参加投标的供应商或者在评标期间对招标文件做出实质响应的供应商不足三家情况，按政府采购相关规定执行。</w:t>
      </w:r>
      <w:r/>
    </w:p>
    <w:p>
      <w:pPr>
        <w:ind w:firstLine="643"/>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28、确定中标单位</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28.1中标候选人的选取原则和数量见招标文件第五章规定。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28.2采购人应根据评委会推荐的中标候选人确定中标人。</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28.3采购代理机构将在“中国政府采购网”、“江苏政府采购网”、“盐城市政府采购网”发布中标公告，公告期限为1个工作日。</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28.4若有充分证据证明，中标人出现下列情况之一的，一经查实，将被取消中标资格：</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28.4.1提供虚假材料谋取中标的。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28.4.2向采购人、采购代理机构行贿或者提供其他不正当利益的。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28.4.3属于本文件规定的无效条件，但在评标过程中又未被评委会发现的。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28.4.4与采购人或者其他供应商恶意串通的。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28.4.5采取不正当手段诋毁、排挤其他供应商的。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28.5.有下列情形之一的，视为投标人串通投标，投标无效：</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28.5.1不同投标人的投标文件由同一单位或者个人编制；</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28.5.2不同投标人委托同一单位或者个人办理投标事宜；</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28.5.3不同投标人的投标文件载明的项目管理成员或者联系人员为同一人；</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28.5.4不同投标人的投标文件异常一致或者投标报价呈规律性差异；</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29、质疑处理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29.1提出质疑的供应商应当是参与所质疑项目采购活动的供应商。潜在供应商依法获取其可质疑的采购文件的，可以对采购文件提出质疑。</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29.2.1对可以质疑的采购文件提出质疑的，为收到采购文件之日或者采购文件公告期限届满之日；</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29.2.2对采购过程提出质疑的，为各采购程序环节结束之日；</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29.2.3对中标或者成交结果提出质疑的，为中标或者成交结果公告期限届满之日。</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供应商应当在法定质疑期内一次性提出针对同一采购程序环节的质疑。供应商如在法定期限内对同一采购程序环节提出多次质疑的，采购代理机构将只对供应商第一次质疑作出答复。</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采购人及采购代理机构只接收以纸质原件形式送达的质疑,采购人和采购代理机构不接受未填写快递运单的快件。联系地址及联系方式同招标公告。</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29.5以下情形的质疑不予受理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29.5.1内容不符合《政府采购质疑和投诉办法》第十二条规定的质疑。</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29.5.2超出政府采购法定期限的质疑。</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29.5.3以传真、电子邮件等方式递交的非原件形式的质疑。</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29.5.4未参加投标活动的供应商或在投标活动中自身权益未受到损害的供应商所提出的质疑。</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29.5.5供应商组成联合体参加投标，联合体中任何一方或多方未按要求签字、盖章、加盖公章的质疑。</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30、中标通知书</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七、授予合同</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31.签订合同</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31.l中标人应当在中标通知书发出之日起三十日内，按照招标文件确定的事项与采购人签订政府采购合同。</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31.2招标文件、中标人的投标文件及招标过程中有关澄清、承诺文件均应作为合同附件。</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31.3签订合同后，</w:t>
      </w:r>
      <w:r>
        <w:rPr>
          <w:rFonts w:ascii="宋体" w:hAnsi="宋体" w:eastAsia="宋体" w:cs="宋体"/>
          <w:i/>
          <w:iCs/>
          <w:color w:val="000000"/>
          <w:sz w:val="24"/>
          <w:u w:val="single"/>
        </w:rPr>
        <w:t xml:space="preserve">中标人不得将合同标的进行转包</w:t>
      </w:r>
      <w:r>
        <w:rPr>
          <w:rFonts w:ascii="宋体" w:hAnsi="宋体" w:eastAsia="宋体" w:cs="宋体"/>
          <w:color w:val="000000"/>
          <w:sz w:val="24"/>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32、货物（包含与货物相关的服务）的追加</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33.政府采购政策功能落实</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33.1政府采购线上合同信用融资政策</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33.2进口产品</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33.3中小企业、监狱企业及残疾人福利性单位</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33.3.1中小企业定义：</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中小企业是</w:t>
      </w:r>
      <w:r>
        <w:rPr>
          <w:rFonts w:hint="eastAsia" w:ascii="宋体" w:hAnsi="宋体" w:eastAsia="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33.3.2供应商提供的货物、工程或者服务符合下列情形的，享受中小企业扶持政策：</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33.3.2.1在货物采购项目中，货物由中小企业制造，即货物由中小企业生产且使用该中小企业商号或者注册商标；</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33.3.2.2在工程采购项目中，工程由中小企业承建，即工程施工单位为中小企业；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33.3.2.3在服务采购项目中，服务由中小企业承接，即提供服务的人员为中小企业依照《中华人民共和国劳动合同法》订立劳动合同的从业人员。</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33.3.3在货物采购项目中，供应商提供的货物既有中小企业制造货物，也有大型企业制造货物的，不享受中小企业扶持政策。</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33.3.4以联合体形式参加政府采购活动，联合体各方均为中小企业的，联合体视同中小企业。其中，联合体各方均为小微企业的，联合体视同小微企业。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33.3.6残疾人福利单位定义：享受政府采购支持政策的残疾人福利性单位应当同时满足以下条件：</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33.3.6.1安置的残疾人占本单位在职职工人数的比例不低于25%（含25%），并且安置的残疾人人数不少于10 人（含10 人）；</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33.3.6.2依法与安置的每位残疾人签订了一年以上（含一年）的劳动合同或服务协议；</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33.3.6.3为安置的每位残疾人按月足额缴纳了基本养老保险、基本医疗保险、失业保险、工伤保险和生育保险等社会保险费；</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33.3.6.4通过银行等金融机构向安置的每位残疾人，按月支付了不低于单位所在区县适用的经省级人民政府批准的月最低工资标准的工资；</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33.3.7本项目是否专门面向中小企业预留采购份额见第一章《招标公告》。</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33.3.8采购标的对应的中小企业划分标准所属行业见第四章《采购需求》。</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33.3.9小微企业价格评审优惠的政策：见第五章《评标方法和评标标准》。</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33.4政府采购节能产品、环境标志产品</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color w:val="000000"/>
          <w:sz w:val="24"/>
          <w:u w:val="single"/>
        </w:rPr>
        <w:t xml:space="preserve">如属政府强制采购产品未提供认证证书的或认证证书提供不全的将视为未实质性响应采购要求</w:t>
      </w:r>
      <w:r>
        <w:rPr>
          <w:rFonts w:hint="eastAsia" w:ascii="宋体" w:hAnsi="宋体" w:eastAsia="宋体" w:cs="宋体"/>
          <w:color w:val="000000"/>
          <w:sz w:val="24"/>
        </w:rPr>
        <w:t xml:space="preserve">。其他条件相同情况下，应当优先采购节能产品、环境标志产品。</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33.5绿色包装</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33.6政府采购创新产品</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采购人优先采购各级政府部门公开发布的有效期内的创新产品、创新服务、首台套、首购首用等《目录》的创新产品。</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33.7绿色数据中心政策 </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33.8履约保证金政策</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33.8.1本项目无须缴纳履约保证金</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33.8.2确需收取履约保证金的，履约保证金的缴纳形式：</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 如以履约保函（保险）形式缴纳履约保证金，供应商可通过政府采购电子履约保函（保险）平台（www.jsdzbh.com）在线申请履约保函（保险）。</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34.预付款制度</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本项目落实预付款制度，预付款比例为30%。在签订合同时，中标、成交供应商明确书面表示无需预付款或者主动要求降低预付款比例的，采购人可就预付款比例作相应调整。</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br w:type="page" w:clear="all"/>
      </w:r>
      <w:r/>
    </w:p>
    <w:p>
      <w:pPr>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bookmarkStart w:id="25" w:name="_Toc207118515"/>
      <w:r>
        <w:rPr>
          <w:rFonts w:ascii="宋体" w:hAnsi="宋体" w:eastAsia="宋体" w:cs="宋体"/>
          <w:color w:val="000000"/>
          <w:sz w:val="44"/>
        </w:rPr>
        <w:t xml:space="preserve">第三章</w:t>
      </w:r>
      <w:r>
        <w:rPr>
          <w:rFonts w:hint="eastAsia" w:ascii="宋体" w:hAnsi="宋体" w:eastAsia="宋体" w:cs="宋体"/>
          <w:color w:val="000000"/>
          <w:sz w:val="44"/>
        </w:rPr>
        <w:t xml:space="preserve"> </w:t>
      </w:r>
      <w:r>
        <w:rPr>
          <w:rFonts w:ascii="宋体" w:hAnsi="宋体" w:eastAsia="宋体" w:cs="宋体"/>
          <w:color w:val="000000"/>
          <w:sz w:val="44"/>
        </w:rPr>
        <w:t xml:space="preserve">合同文本</w:t>
      </w:r>
      <w:bookmarkEnd w:id="25"/>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jc w:val="center"/>
        <w:spacing w:line="9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rPr>
        <w:t xml:space="preserve">政府采购货物买卖合同</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7"/>
        <w:gridCol w:w="7576"/>
      </w:tblGrid>
      <w:tr>
        <w:trPr>
          <w:trHeight w:val="70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77"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项目名称：</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576" w:type="dxa"/>
            <w:vAlign w:val="center"/>
            <w:textDirection w:val="lrTb"/>
            <w:noWrap w:val="false"/>
          </w:tcPr>
          <w:p>
            <w:pPr>
              <w:jc w:val="center"/>
              <w:spacing w:line="24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rPr>
              <w:t xml:space="preserve">2025年人防警报设施采购项目</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77"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甲</w:t>
            </w:r>
            <w:r>
              <w:rPr>
                <w:rFonts w:hint="eastAsia" w:ascii="宋体" w:hAnsi="宋体" w:eastAsia="宋体" w:cs="宋体"/>
                <w:color w:val="000000"/>
                <w:sz w:val="32"/>
              </w:rPr>
              <w:t xml:space="preserve">    </w:t>
            </w:r>
            <w:r>
              <w:rPr>
                <w:rFonts w:ascii="宋体" w:hAnsi="宋体" w:eastAsia="宋体" w:cs="宋体"/>
                <w:color w:val="000000"/>
                <w:sz w:val="32"/>
              </w:rPr>
              <w:t xml:space="preserve">方：</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576" w:type="dxa"/>
            <w:vAlign w:val="center"/>
            <w:textDirection w:val="lrTb"/>
            <w:noWrap w:val="false"/>
          </w:tcPr>
          <w:p>
            <w:pPr>
              <w:jc w:val="center"/>
              <w:spacing w:line="8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rPr>
              <w:t xml:space="preserve">盐城市发展和改革委员会</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77"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乙</w:t>
            </w:r>
            <w:r>
              <w:rPr>
                <w:rFonts w:hint="eastAsia" w:ascii="宋体" w:hAnsi="宋体" w:eastAsia="宋体" w:cs="宋体"/>
                <w:color w:val="000000"/>
                <w:sz w:val="32"/>
              </w:rPr>
              <w:t xml:space="preserve">    </w:t>
            </w:r>
            <w:r>
              <w:rPr>
                <w:rFonts w:ascii="宋体" w:hAnsi="宋体" w:eastAsia="宋体" w:cs="宋体"/>
                <w:color w:val="000000"/>
                <w:sz w:val="32"/>
              </w:rPr>
              <w:t xml:space="preserve">方：</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576" w:type="dxa"/>
            <w:vAlign w:val="center"/>
            <w:textDirection w:val="lrTb"/>
            <w:noWrap w:val="false"/>
          </w:tcPr>
          <w:p>
            <w:pPr>
              <w:jc w:val="center"/>
              <w:spacing w:line="8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077" w:type="dxa"/>
            <w:vAlign w:val="bottom"/>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签订时间：</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7576" w:type="dxa"/>
            <w:vAlign w:val="center"/>
            <w:textDirection w:val="lrTb"/>
            <w:noWrap w:val="false"/>
          </w:tcPr>
          <w:p>
            <w:pPr>
              <w:jc w:val="center"/>
              <w:spacing w:line="8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年   月   日</w:t>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firstLine="480"/>
        <w:jc w:val="both"/>
        <w:spacing w:line="5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line="85" w:lineRule="atLeast"/>
        <w:rPr>
          <w:rFonts w:ascii="宋体" w:hAnsi="宋体" w:eastAsia="宋体" w:cs="宋体"/>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jc w:val="center"/>
        <w:spacing w:line="85" w:lineRule="atLeast"/>
        <w:rPr>
          <w:sz w:val="32"/>
        </w:rPr>
        <w:pBdr>
          <w:top w:val="none" w:color="000000" w:sz="0" w:space="0"/>
          <w:left w:val="none" w:color="000000" w:sz="0" w:space="0"/>
          <w:bottom w:val="none" w:color="000000" w:sz="0" w:space="0"/>
          <w:right w:val="none" w:color="000000" w:sz="0" w:space="0"/>
        </w:pBdr>
      </w:pPr>
      <w:r>
        <w:rPr>
          <w:sz w:val="32"/>
        </w:rPr>
      </w:r>
      <w:r/>
    </w:p>
    <w:p>
      <w:pPr>
        <w:jc w:val="center"/>
        <w:spacing w:line="85" w:lineRule="atLeast"/>
        <w:rPr>
          <w:sz w:val="32"/>
        </w:rPr>
        <w:pBdr>
          <w:top w:val="none" w:color="000000" w:sz="0" w:space="0"/>
          <w:left w:val="none" w:color="000000" w:sz="0" w:space="0"/>
          <w:bottom w:val="none" w:color="000000" w:sz="0" w:space="0"/>
          <w:right w:val="none" w:color="000000" w:sz="0" w:space="0"/>
        </w:pBdr>
      </w:pPr>
      <w:r>
        <w:rPr>
          <w:sz w:val="32"/>
        </w:rPr>
      </w:r>
      <w:r/>
    </w:p>
    <w:p>
      <w:pPr>
        <w:jc w:val="center"/>
        <w:spacing w:line="85" w:lineRule="atLeast"/>
        <w:rPr>
          <w:sz w:val="32"/>
        </w:rPr>
        <w:pBdr>
          <w:top w:val="none" w:color="000000" w:sz="0" w:space="0"/>
          <w:left w:val="none" w:color="000000" w:sz="0" w:space="0"/>
          <w:bottom w:val="none" w:color="000000" w:sz="0" w:space="0"/>
          <w:right w:val="none" w:color="000000" w:sz="0" w:space="0"/>
        </w:pBdr>
      </w:pPr>
      <w:r>
        <w:rPr>
          <w:sz w:val="32"/>
        </w:rPr>
      </w:r>
      <w:r/>
    </w:p>
    <w:p>
      <w:pPr>
        <w:jc w:val="center"/>
        <w:spacing w:line="85" w:lineRule="atLeast"/>
        <w:rPr>
          <w:sz w:val="32"/>
        </w:rPr>
        <w:pBdr>
          <w:top w:val="none" w:color="000000" w:sz="0" w:space="0"/>
          <w:left w:val="none" w:color="000000" w:sz="0" w:space="0"/>
          <w:bottom w:val="none" w:color="000000" w:sz="0" w:space="0"/>
          <w:right w:val="none" w:color="000000" w:sz="0" w:space="0"/>
        </w:pBdr>
      </w:pPr>
      <w:r>
        <w:rPr>
          <w:sz w:val="32"/>
        </w:rPr>
      </w:r>
      <w:r/>
    </w:p>
    <w:p>
      <w:pPr>
        <w:jc w:val="center"/>
        <w:spacing w:line="85" w:lineRule="atLeast"/>
        <w:rPr>
          <w:sz w:val="32"/>
        </w:rPr>
        <w:pBdr>
          <w:top w:val="none" w:color="000000" w:sz="0" w:space="0"/>
          <w:left w:val="none" w:color="000000" w:sz="0" w:space="0"/>
          <w:bottom w:val="none" w:color="000000" w:sz="0" w:space="0"/>
          <w:right w:val="none" w:color="000000" w:sz="0" w:space="0"/>
        </w:pBdr>
      </w:pPr>
      <w:r>
        <w:rPr>
          <w:sz w:val="32"/>
        </w:rPr>
      </w:r>
      <w:r/>
    </w:p>
    <w:p>
      <w:pPr>
        <w:jc w:val="center"/>
        <w:spacing w:line="85" w:lineRule="atLeast"/>
        <w:rPr>
          <w:sz w:val="32"/>
        </w:rPr>
        <w:pBdr>
          <w:top w:val="none" w:color="000000" w:sz="0" w:space="0"/>
          <w:left w:val="none" w:color="000000" w:sz="0" w:space="0"/>
          <w:bottom w:val="none" w:color="000000" w:sz="0" w:space="0"/>
          <w:right w:val="none" w:color="000000" w:sz="0" w:space="0"/>
        </w:pBdr>
      </w:pPr>
      <w:r>
        <w:rPr>
          <w:sz w:val="32"/>
        </w:rPr>
      </w:r>
      <w:r/>
    </w:p>
    <w:p>
      <w:pPr>
        <w:jc w:val="center"/>
        <w:spacing w:line="85" w:lineRule="atLeast"/>
        <w:pBdr>
          <w:top w:val="none" w:color="000000" w:sz="0" w:space="0"/>
          <w:left w:val="none" w:color="000000" w:sz="0" w:space="0"/>
          <w:bottom w:val="none" w:color="000000" w:sz="0" w:space="0"/>
          <w:right w:val="none" w:color="000000" w:sz="0" w:space="0"/>
        </w:pBdr>
      </w:pPr>
      <w:r/>
      <w:r/>
    </w:p>
    <w:p>
      <w:pPr>
        <w:jc w:val="center"/>
        <w:spacing w:line="85" w:lineRule="atLeast"/>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120" w:after="120" w:line="500" w:lineRule="exact"/>
        <w:rPr>
          <w:rFonts w:ascii="宋体" w:hAnsi="宋体"/>
          <w:b/>
          <w:bCs/>
          <w:sz w:val="30"/>
        </w:rPr>
        <w:outlineLvl w:val="0"/>
      </w:pPr>
      <w:r>
        <w:rPr>
          <w:rFonts w:ascii="宋体" w:hAnsi="宋体" w:eastAsia="宋体" w:cs="宋体"/>
          <w:color w:val="000000"/>
          <w:sz w:val="24"/>
        </w:rPr>
        <w:t xml:space="preserve"> </w:t>
      </w:r>
      <w:r>
        <w:rPr>
          <w:rFonts w:hint="eastAsia" w:ascii="宋体" w:hAnsi="宋体"/>
          <w:b/>
          <w:sz w:val="30"/>
        </w:rPr>
        <w:t xml:space="preserve">政府采购合同</w:t>
      </w:r>
      <w:r/>
    </w:p>
    <w:p>
      <w:pPr>
        <w:ind w:firstLine="480"/>
        <w:spacing w:line="500" w:lineRule="exact"/>
        <w:rPr>
          <w:rFonts w:ascii="宋体" w:hAnsi="宋体"/>
          <w:bCs/>
          <w:sz w:val="24"/>
        </w:rPr>
      </w:pPr>
      <w:r>
        <w:rPr>
          <w:rFonts w:hint="eastAsia" w:ascii="宋体" w:hAnsi="宋体"/>
          <w:bCs/>
          <w:sz w:val="24"/>
        </w:rPr>
        <w:t xml:space="preserve">项目编号：                       </w:t>
      </w:r>
      <w:r/>
    </w:p>
    <w:p>
      <w:pPr>
        <w:ind w:firstLine="480"/>
        <w:spacing w:line="500" w:lineRule="exact"/>
        <w:rPr>
          <w:rFonts w:ascii="宋体" w:hAnsi="宋体"/>
          <w:bCs/>
          <w:sz w:val="24"/>
          <w:u w:val="single"/>
        </w:rPr>
      </w:pPr>
      <w:r>
        <w:rPr>
          <w:rFonts w:hint="eastAsia" w:ascii="宋体" w:hAnsi="宋体"/>
          <w:bCs/>
          <w:sz w:val="24"/>
        </w:rPr>
        <w:t xml:space="preserve">项目名称：</w:t>
      </w:r>
      <w:r>
        <w:rPr>
          <w:rFonts w:hint="eastAsia" w:ascii="宋体" w:hAnsi="宋体"/>
          <w:bCs/>
          <w:sz w:val="24"/>
          <w:u w:val="single"/>
        </w:rPr>
        <w:t xml:space="preserve">2025年人防警报设施采购项目</w:t>
      </w:r>
      <w:r/>
    </w:p>
    <w:p>
      <w:pPr>
        <w:ind w:firstLine="480"/>
        <w:spacing w:line="500" w:lineRule="exact"/>
        <w:rPr>
          <w:rFonts w:ascii="宋体" w:hAnsi="宋体"/>
          <w:bCs/>
          <w:sz w:val="24"/>
          <w:u w:val="single"/>
        </w:rPr>
      </w:pPr>
      <w:r>
        <w:rPr>
          <w:rFonts w:hint="eastAsia" w:ascii="宋体" w:hAnsi="宋体"/>
          <w:bCs/>
          <w:sz w:val="24"/>
        </w:rPr>
        <w:t xml:space="preserve">甲方：（买方）</w:t>
      </w:r>
      <w:r>
        <w:rPr>
          <w:rFonts w:hint="eastAsia" w:ascii="宋体" w:hAnsi="宋体"/>
          <w:bCs/>
          <w:sz w:val="24"/>
          <w:u w:val="single"/>
        </w:rPr>
        <w:t xml:space="preserve">盐城市发展和改革委员会</w:t>
      </w:r>
      <w:r/>
    </w:p>
    <w:p>
      <w:pPr>
        <w:ind w:firstLine="480"/>
        <w:spacing w:line="500" w:lineRule="exact"/>
        <w:rPr>
          <w:rFonts w:ascii="宋体" w:hAnsi="宋体"/>
          <w:bCs/>
          <w:sz w:val="24"/>
          <w:u w:val="single"/>
        </w:rPr>
      </w:pPr>
      <w:r>
        <w:rPr>
          <w:rFonts w:hint="eastAsia" w:ascii="宋体" w:hAnsi="宋体"/>
          <w:bCs/>
          <w:sz w:val="24"/>
        </w:rPr>
        <w:t xml:space="preserve">乙方：（卖方）</w:t>
      </w:r>
      <w:r>
        <w:rPr>
          <w:rFonts w:hint="eastAsia" w:ascii="宋体" w:hAnsi="宋体"/>
          <w:bCs/>
          <w:sz w:val="24"/>
          <w:u w:val="single"/>
        </w:rPr>
        <w:t xml:space="preserve">                      </w:t>
      </w:r>
      <w:r/>
    </w:p>
    <w:p>
      <w:pPr>
        <w:ind w:firstLine="480"/>
        <w:spacing w:line="500" w:lineRule="exact"/>
        <w:rPr>
          <w:rFonts w:ascii="宋体" w:hAnsi="宋体"/>
          <w:bCs/>
          <w:sz w:val="24"/>
        </w:rPr>
      </w:pPr>
      <w:r>
        <w:rPr>
          <w:rFonts w:hint="eastAsia" w:ascii="宋体" w:hAnsi="宋体"/>
          <w:bCs/>
          <w:sz w:val="24"/>
        </w:rPr>
        <w:t xml:space="preserve">甲乙双方根据</w:t>
      </w:r>
      <w:r>
        <w:rPr>
          <w:rFonts w:hint="eastAsia" w:ascii="宋体" w:hAnsi="宋体"/>
          <w:bCs/>
          <w:sz w:val="24"/>
          <w:u w:val="single"/>
        </w:rPr>
        <w:t xml:space="preserve">2025年人防警报设施采购项目</w:t>
      </w:r>
      <w:r>
        <w:rPr>
          <w:rFonts w:hint="eastAsia" w:ascii="宋体" w:hAnsi="宋体"/>
          <w:bCs/>
          <w:sz w:val="24"/>
        </w:rPr>
        <w:t xml:space="preserve">公开招标的结果，签署本合同。</w:t>
      </w:r>
      <w:r/>
    </w:p>
    <w:p>
      <w:pPr>
        <w:ind w:firstLine="482"/>
        <w:spacing w:line="500" w:lineRule="exact"/>
        <w:rPr>
          <w:rFonts w:ascii="宋体" w:hAnsi="宋体"/>
          <w:b/>
          <w:sz w:val="24"/>
        </w:rPr>
      </w:pPr>
      <w:r>
        <w:rPr>
          <w:rFonts w:hint="eastAsia" w:ascii="宋体" w:hAnsi="宋体"/>
          <w:b/>
          <w:sz w:val="24"/>
        </w:rPr>
        <w:t xml:space="preserve">一、项目概况</w:t>
      </w:r>
      <w:r/>
    </w:p>
    <w:p>
      <w:pPr>
        <w:ind w:firstLine="480"/>
        <w:spacing w:line="500" w:lineRule="exact"/>
        <w:rPr>
          <w:rFonts w:ascii="宋体" w:hAnsi="宋体"/>
          <w:bCs/>
          <w:sz w:val="24"/>
        </w:rPr>
      </w:pPr>
      <w:r>
        <w:rPr>
          <w:rFonts w:hint="eastAsia" w:ascii="宋体" w:hAnsi="宋体"/>
          <w:bCs/>
          <w:sz w:val="24"/>
        </w:rPr>
        <w:t xml:space="preserve">1.1 采购需求：</w:t>
      </w:r>
      <w:r>
        <w:rPr>
          <w:rFonts w:hint="eastAsia" w:ascii="宋体" w:hAnsi="宋体" w:eastAsia="宋体" w:cs="宋体"/>
          <w:color w:val="000000"/>
          <w:sz w:val="24"/>
          <w:szCs w:val="24"/>
        </w:rPr>
        <w:t xml:space="preserve">2025年人防警报设施采购项目。主要内容为采购20台人防电声警报一体机，并安装到位</w:t>
      </w:r>
      <w:r>
        <w:rPr>
          <w:rFonts w:hint="eastAsia" w:ascii="宋体" w:hAnsi="宋体"/>
          <w:bCs/>
          <w:sz w:val="24"/>
        </w:rPr>
        <w:t xml:space="preserve">，具体详见项目采购需求。</w:t>
      </w:r>
      <w:r/>
    </w:p>
    <w:p>
      <w:pPr>
        <w:ind w:firstLine="480"/>
        <w:spacing w:before="240" w:after="24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1.2合同履行期限：</w:t>
      </w:r>
      <w:r>
        <w:rPr>
          <w:rFonts w:hint="eastAsia" w:ascii="宋体" w:hAnsi="宋体" w:cs="宋体"/>
          <w:sz w:val="24"/>
          <w:szCs w:val="24"/>
        </w:rPr>
        <w:t xml:space="preserve">自合同签订之日起90天内通过验收，交付使用。</w:t>
      </w:r>
      <w:r/>
    </w:p>
    <w:p>
      <w:pPr>
        <w:ind w:firstLine="482"/>
        <w:spacing w:line="500" w:lineRule="exact"/>
        <w:rPr>
          <w:rFonts w:ascii="宋体" w:hAnsi="宋体"/>
          <w:b/>
          <w:sz w:val="24"/>
        </w:rPr>
      </w:pPr>
      <w:r>
        <w:rPr>
          <w:rFonts w:hint="eastAsia" w:ascii="宋体" w:hAnsi="宋体"/>
          <w:b/>
          <w:sz w:val="24"/>
        </w:rPr>
        <w:t xml:space="preserve">二、合同金额</w:t>
      </w:r>
      <w:r/>
    </w:p>
    <w:p>
      <w:pPr>
        <w:ind w:firstLine="480"/>
        <w:spacing w:line="500" w:lineRule="exact"/>
        <w:rPr>
          <w:rFonts w:ascii="宋体" w:hAnsi="宋体"/>
          <w:bCs/>
          <w:sz w:val="24"/>
        </w:rPr>
      </w:pPr>
      <w:r>
        <w:rPr>
          <w:rFonts w:hint="eastAsia" w:ascii="宋体" w:hAnsi="宋体"/>
          <w:bCs/>
          <w:sz w:val="24"/>
        </w:rPr>
        <w:t xml:space="preserve">本合同金额为人民币（大写）：________元（_______________元）。</w:t>
      </w:r>
      <w:r/>
    </w:p>
    <w:p>
      <w:pPr>
        <w:ind w:firstLine="482"/>
        <w:spacing w:line="500" w:lineRule="exact"/>
        <w:rPr>
          <w:rFonts w:ascii="宋体" w:hAnsi="宋体"/>
          <w:b/>
          <w:sz w:val="24"/>
        </w:rPr>
      </w:pPr>
      <w:r>
        <w:rPr>
          <w:rFonts w:hint="eastAsia" w:ascii="宋体" w:hAnsi="宋体"/>
          <w:b/>
          <w:sz w:val="24"/>
        </w:rPr>
        <w:t xml:space="preserve">三、技术资料</w:t>
      </w:r>
      <w:r/>
    </w:p>
    <w:p>
      <w:pPr>
        <w:ind w:firstLine="480"/>
        <w:spacing w:line="500" w:lineRule="exact"/>
        <w:rPr>
          <w:rFonts w:ascii="宋体" w:hAnsi="宋体"/>
          <w:bCs/>
          <w:sz w:val="24"/>
        </w:rPr>
      </w:pPr>
      <w:r>
        <w:rPr>
          <w:rFonts w:hint="eastAsia" w:ascii="宋体" w:hAnsi="宋体"/>
          <w:bCs/>
          <w:sz w:val="24"/>
        </w:rPr>
        <w:t xml:space="preserve">3.1乙方应按招标文件规定的时间向甲方提供使用货物的有关技术资料。</w:t>
      </w:r>
      <w:r/>
    </w:p>
    <w:p>
      <w:pPr>
        <w:ind w:firstLine="480"/>
        <w:spacing w:line="500" w:lineRule="exact"/>
        <w:rPr>
          <w:rFonts w:ascii="宋体" w:hAnsi="宋体"/>
          <w:bCs/>
          <w:sz w:val="24"/>
        </w:rPr>
      </w:pPr>
      <w:r>
        <w:rPr>
          <w:rFonts w:hint="eastAsia" w:ascii="宋体" w:hAnsi="宋体"/>
          <w:bCs/>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00" w:lineRule="exact"/>
        <w:rPr>
          <w:rFonts w:ascii="宋体" w:hAnsi="宋体"/>
          <w:b/>
          <w:sz w:val="24"/>
        </w:rPr>
      </w:pPr>
      <w:r>
        <w:rPr>
          <w:rFonts w:hint="eastAsia" w:ascii="宋体" w:hAnsi="宋体"/>
          <w:b/>
          <w:sz w:val="24"/>
        </w:rPr>
        <w:t xml:space="preserve">四、知识产权</w:t>
      </w:r>
      <w:r/>
    </w:p>
    <w:p>
      <w:pPr>
        <w:ind w:firstLine="480"/>
        <w:spacing w:line="500" w:lineRule="exact"/>
        <w:rPr>
          <w:rFonts w:ascii="宋体" w:hAnsi="宋体"/>
          <w:bCs/>
          <w:sz w:val="24"/>
        </w:rPr>
      </w:pPr>
      <w:r>
        <w:rPr>
          <w:rFonts w:hint="eastAsia" w:ascii="宋体" w:hAnsi="宋体"/>
          <w:bCs/>
          <w:sz w:val="24"/>
        </w:rPr>
        <w:t xml:space="preserve">4.1乙方应保证甲方在使用、接受本合同货物和服务或其任何一部分时不受第三方提出侵犯其专利权、版权、商标权和工业设计权等知识产权的起诉。一旦出现侵权，由乙方负全部责任。</w:t>
      </w:r>
      <w:r/>
    </w:p>
    <w:p>
      <w:pPr>
        <w:ind w:firstLine="482"/>
        <w:spacing w:line="500" w:lineRule="exact"/>
        <w:rPr>
          <w:rFonts w:ascii="宋体" w:hAnsi="宋体"/>
          <w:b/>
          <w:sz w:val="24"/>
        </w:rPr>
      </w:pPr>
      <w:r>
        <w:rPr>
          <w:rFonts w:hint="eastAsia" w:ascii="宋体" w:hAnsi="宋体"/>
          <w:b/>
          <w:sz w:val="24"/>
        </w:rPr>
        <w:t xml:space="preserve">五、产权担保</w:t>
      </w:r>
      <w:r/>
    </w:p>
    <w:p>
      <w:pPr>
        <w:ind w:firstLine="480"/>
        <w:spacing w:line="500" w:lineRule="exact"/>
        <w:rPr>
          <w:rFonts w:ascii="宋体" w:hAnsi="宋体"/>
          <w:bCs/>
          <w:sz w:val="24"/>
        </w:rPr>
      </w:pPr>
      <w:r>
        <w:rPr>
          <w:rFonts w:hint="eastAsia" w:ascii="宋体" w:hAnsi="宋体"/>
          <w:bCs/>
          <w:sz w:val="24"/>
        </w:rPr>
        <w:t xml:space="preserve">5.1 乙方保证所交付的货物的所有权完全属于乙方且无任何抵押、查封等产权瑕疵。</w:t>
      </w:r>
      <w:r/>
    </w:p>
    <w:p>
      <w:pPr>
        <w:ind w:firstLine="482"/>
        <w:spacing w:line="500" w:lineRule="exact"/>
        <w:rPr>
          <w:rFonts w:ascii="宋体" w:hAnsi="宋体"/>
          <w:b/>
          <w:sz w:val="24"/>
        </w:rPr>
      </w:pPr>
      <w:r>
        <w:rPr>
          <w:rFonts w:hint="eastAsia" w:ascii="宋体" w:hAnsi="宋体"/>
          <w:b/>
          <w:sz w:val="24"/>
        </w:rPr>
        <w:t xml:space="preserve">六、履约保证金</w:t>
      </w:r>
      <w:r/>
    </w:p>
    <w:p>
      <w:pPr>
        <w:ind w:firstLine="482"/>
        <w:spacing w:line="500" w:lineRule="exact"/>
        <w:rPr>
          <w:rFonts w:ascii="宋体" w:hAnsi="宋体"/>
          <w:bCs/>
          <w:sz w:val="24"/>
        </w:rPr>
      </w:pPr>
      <w:r>
        <w:rPr>
          <w:rFonts w:hint="eastAsia" w:ascii="宋体" w:hAnsi="宋体"/>
          <w:bCs/>
          <w:sz w:val="24"/>
        </w:rPr>
        <w:t xml:space="preserve">本项目无须缴纳履约保证金。</w:t>
      </w:r>
      <w:r/>
    </w:p>
    <w:p>
      <w:pPr>
        <w:ind w:firstLine="482"/>
        <w:spacing w:line="500" w:lineRule="exact"/>
        <w:rPr>
          <w:rFonts w:ascii="宋体" w:hAnsi="宋体"/>
          <w:b/>
          <w:sz w:val="24"/>
          <w:lang w:val="zh-CN"/>
        </w:rPr>
      </w:pPr>
      <w:r>
        <w:rPr>
          <w:rFonts w:hint="eastAsia" w:ascii="宋体" w:hAnsi="宋体"/>
          <w:b/>
          <w:sz w:val="24"/>
        </w:rPr>
        <w:t xml:space="preserve">七、</w:t>
      </w:r>
      <w:r>
        <w:rPr>
          <w:rFonts w:hint="eastAsia" w:ascii="宋体" w:hAnsi="宋体"/>
          <w:b/>
          <w:sz w:val="24"/>
          <w:lang w:val="zh-CN"/>
        </w:rPr>
        <w:t xml:space="preserve">转包或分包</w:t>
      </w:r>
      <w:r/>
    </w:p>
    <w:p>
      <w:pPr>
        <w:ind w:firstLine="480"/>
        <w:spacing w:line="500" w:lineRule="exact"/>
        <w:rPr>
          <w:rFonts w:ascii="宋体" w:hAnsi="宋体"/>
          <w:bCs/>
          <w:sz w:val="24"/>
          <w:lang w:val="zh-CN"/>
        </w:rPr>
      </w:pPr>
      <w:r>
        <w:rPr>
          <w:rFonts w:hint="eastAsia" w:ascii="宋体" w:hAnsi="宋体"/>
          <w:bCs/>
          <w:sz w:val="24"/>
          <w:lang w:val="zh-CN"/>
        </w:rPr>
        <w:t xml:space="preserve">7.1本合同范围的货物，应由乙方直接供应，不得转让他人供应；</w:t>
      </w:r>
      <w:r/>
    </w:p>
    <w:p>
      <w:pPr>
        <w:ind w:firstLine="480"/>
        <w:spacing w:line="500" w:lineRule="exact"/>
        <w:rPr>
          <w:rFonts w:ascii="宋体" w:hAnsi="宋体"/>
          <w:bCs/>
          <w:sz w:val="24"/>
          <w:lang w:val="zh-CN"/>
        </w:rPr>
      </w:pPr>
      <w:r>
        <w:rPr>
          <w:rFonts w:hint="eastAsia" w:ascii="宋体" w:hAnsi="宋体"/>
          <w:bCs/>
          <w:sz w:val="24"/>
          <w:lang w:val="zh-CN"/>
        </w:rPr>
        <w:t xml:space="preserve">7.2 除非得到甲方的书面同意，乙方不得部分分包给他人供应。</w:t>
      </w:r>
      <w:r/>
    </w:p>
    <w:p>
      <w:pPr>
        <w:ind w:firstLine="480"/>
        <w:spacing w:line="500" w:lineRule="exact"/>
        <w:rPr>
          <w:rFonts w:ascii="宋体" w:hAnsi="宋体"/>
          <w:bCs/>
          <w:sz w:val="24"/>
          <w:lang w:val="zh-CN"/>
        </w:rPr>
      </w:pPr>
      <w:r>
        <w:rPr>
          <w:rFonts w:hint="eastAsia" w:ascii="宋体" w:hAnsi="宋体"/>
          <w:bCs/>
          <w:sz w:val="24"/>
          <w:lang w:val="zh-CN"/>
        </w:rPr>
        <w:t xml:space="preserve">7.3如有转让和未经甲方同意的分包行为，甲方有权给予终止合同。</w:t>
      </w:r>
      <w:r/>
    </w:p>
    <w:p>
      <w:pPr>
        <w:ind w:firstLine="482"/>
        <w:spacing w:line="500" w:lineRule="exact"/>
        <w:rPr>
          <w:rFonts w:ascii="Calibri" w:hAnsi="Calibri"/>
          <w:sz w:val="24"/>
          <w:szCs w:val="24"/>
        </w:rPr>
      </w:pPr>
      <w:r>
        <w:rPr>
          <w:rFonts w:hint="eastAsia" w:ascii="宋体" w:hAnsi="宋体" w:cs="宋体"/>
          <w:b/>
          <w:color w:val="000000"/>
          <w:sz w:val="24"/>
          <w:szCs w:val="24"/>
        </w:rPr>
        <w:t xml:space="preserve">八、合同款项支付</w:t>
      </w:r>
      <w:r/>
    </w:p>
    <w:p>
      <w:pPr>
        <w:ind w:firstLine="480"/>
        <w:spacing w:line="500" w:lineRule="exact"/>
        <w:rPr>
          <w:rFonts w:ascii="Calibri" w:hAnsi="Calibri"/>
          <w:sz w:val="24"/>
          <w:szCs w:val="24"/>
        </w:rPr>
      </w:pPr>
      <w:r>
        <w:rPr>
          <w:rFonts w:hint="eastAsia" w:ascii="宋体" w:hAnsi="宋体" w:cs="宋体"/>
          <w:color w:val="000000"/>
          <w:sz w:val="24"/>
          <w:szCs w:val="24"/>
        </w:rPr>
        <w:t xml:space="preserve">8.1合同款项的支付方式及进度安排</w:t>
      </w:r>
      <w:r/>
    </w:p>
    <w:p>
      <w:pPr>
        <w:ind w:firstLine="480"/>
        <w:spacing w:line="500" w:lineRule="exact"/>
        <w:rPr>
          <w:rFonts w:ascii="宋体" w:hAnsi="宋体" w:eastAsia="宋体" w:cs="宋体"/>
          <w:color w:val="000000"/>
          <w:sz w:val="24"/>
          <w:szCs w:val="24"/>
        </w:rPr>
      </w:pPr>
      <w:r>
        <w:rPr>
          <w:rFonts w:hint="eastAsia" w:hAnsi="宋体" w:eastAsia="宋体"/>
          <w:sz w:val="24"/>
        </w:rPr>
        <w:t xml:space="preserve">合同预付款比例为30%，合同签订后，甲方在收到乙方等额的合法发票后10个工作日内预付合同价的30%；货物全部供货完成并经甲方验收合格、单据齐全后支付尾款。</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注：在签订合同时，中标、成交供应商明确书面表示无需预付款或者主动要求降低预付款比例的，采购人可就预付款比例作相应调整。</w:t>
      </w:r>
      <w:r/>
    </w:p>
    <w:p>
      <w:pPr>
        <w:ind w:firstLine="482"/>
        <w:spacing w:line="500" w:lineRule="exact"/>
        <w:rPr>
          <w:rFonts w:ascii="Calibri" w:hAnsi="Calibri"/>
          <w:sz w:val="24"/>
          <w:szCs w:val="24"/>
        </w:rPr>
      </w:pPr>
      <w:r>
        <w:rPr>
          <w:rFonts w:hint="eastAsia" w:ascii="宋体" w:hAnsi="宋体" w:cs="宋体"/>
          <w:b/>
          <w:color w:val="000000"/>
          <w:sz w:val="24"/>
          <w:szCs w:val="24"/>
        </w:rPr>
        <w:t xml:space="preserve">九、税费</w:t>
      </w:r>
      <w:r/>
    </w:p>
    <w:p>
      <w:pPr>
        <w:ind w:firstLine="480"/>
        <w:spacing w:line="500" w:lineRule="exact"/>
        <w:rPr>
          <w:rFonts w:ascii="Calibri" w:hAnsi="Calibri"/>
          <w:sz w:val="24"/>
          <w:szCs w:val="24"/>
        </w:rPr>
      </w:pPr>
      <w:r>
        <w:rPr>
          <w:rFonts w:hint="eastAsia" w:ascii="宋体" w:hAnsi="宋体" w:cs="宋体"/>
          <w:color w:val="000000"/>
          <w:sz w:val="24"/>
          <w:szCs w:val="24"/>
        </w:rPr>
        <w:t xml:space="preserve">9.1本合同执行中相关的一切税费均由乙方负担。</w:t>
      </w:r>
      <w:r/>
    </w:p>
    <w:p>
      <w:pPr>
        <w:ind w:firstLine="482"/>
        <w:spacing w:line="500" w:lineRule="exact"/>
        <w:rPr>
          <w:rFonts w:ascii="Calibri" w:hAnsi="Calibri"/>
          <w:sz w:val="24"/>
          <w:szCs w:val="24"/>
        </w:rPr>
      </w:pPr>
      <w:r>
        <w:rPr>
          <w:rFonts w:hint="eastAsia" w:ascii="宋体" w:hAnsi="宋体" w:cs="宋体"/>
          <w:b/>
          <w:color w:val="000000"/>
          <w:sz w:val="24"/>
          <w:szCs w:val="24"/>
        </w:rPr>
        <w:t xml:space="preserve">十、质量保修范围和保修期及售后服务</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10.1 乙方应按招标文件规定的货物性能、技术要求、质量标准向甲方提供未经使用的全新产品。</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spacing w:line="500" w:lineRule="exact"/>
        <w:rPr>
          <w:rFonts w:ascii="Calibri" w:hAnsi="Calibri"/>
          <w:sz w:val="24"/>
          <w:szCs w:val="24"/>
        </w:rPr>
      </w:pPr>
      <w:r>
        <w:rPr>
          <w:rFonts w:hint="eastAsia" w:ascii="宋体" w:hAnsi="宋体" w:cs="宋体"/>
          <w:color w:val="000000"/>
          <w:sz w:val="24"/>
          <w:szCs w:val="24"/>
        </w:rPr>
        <w:t xml:space="preserve">⑴更换：由乙方承担所发生的全部费用。</w:t>
      </w:r>
      <w:r/>
    </w:p>
    <w:p>
      <w:pPr>
        <w:ind w:firstLine="480"/>
        <w:spacing w:line="500" w:lineRule="exact"/>
        <w:rPr>
          <w:rFonts w:ascii="Calibri" w:hAnsi="Calibri"/>
          <w:sz w:val="24"/>
          <w:szCs w:val="24"/>
        </w:rPr>
      </w:pPr>
      <w:r>
        <w:rPr>
          <w:rFonts w:hint="eastAsia" w:ascii="宋体" w:hAnsi="宋体" w:cs="宋体"/>
          <w:color w:val="000000"/>
          <w:sz w:val="24"/>
          <w:szCs w:val="24"/>
        </w:rPr>
        <w:t xml:space="preserve">⑵贬值处理：由甲乙双方合议定价。</w:t>
      </w:r>
      <w:r/>
    </w:p>
    <w:p>
      <w:pPr>
        <w:ind w:firstLine="480"/>
        <w:spacing w:line="500" w:lineRule="exact"/>
        <w:rPr>
          <w:rFonts w:ascii="Calibri" w:hAnsi="Calibri"/>
          <w:sz w:val="24"/>
          <w:szCs w:val="24"/>
        </w:rPr>
      </w:pPr>
      <w:r>
        <w:rPr>
          <w:rFonts w:hint="eastAsia" w:ascii="宋体" w:hAnsi="宋体" w:cs="宋体"/>
          <w:color w:val="000000"/>
          <w:sz w:val="24"/>
          <w:szCs w:val="24"/>
        </w:rPr>
        <w:t xml:space="preserve">⑶退货处理：乙方应退还甲方支付的合同款，同时应承担该货物的直接费用（运输、保险、检验、货款利息及银行手续费等）。</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10.3 如在使用过程中发生质量问题，乙方在接到甲方通知后在_____小时内到达甲方现场。</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10.4 在质保期内，乙方应对货物出现的质量及安全问题负责处理解决并承担一切费用。</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10.5质保期：5年，自验收合格之日起计算。</w:t>
      </w:r>
      <w:r/>
    </w:p>
    <w:p>
      <w:pPr>
        <w:ind w:firstLine="482"/>
        <w:spacing w:line="500" w:lineRule="exact"/>
        <w:rPr>
          <w:rFonts w:ascii="Calibri" w:hAnsi="Calibri"/>
          <w:sz w:val="24"/>
          <w:szCs w:val="24"/>
        </w:rPr>
      </w:pPr>
      <w:r>
        <w:rPr>
          <w:rFonts w:hint="eastAsia" w:ascii="宋体" w:hAnsi="宋体" w:cs="宋体"/>
          <w:b/>
          <w:color w:val="000000"/>
          <w:sz w:val="24"/>
          <w:szCs w:val="24"/>
        </w:rPr>
        <w:t xml:space="preserve">十一、项目验收</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11.1 甲方依法组织履约验收工作。</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11.3 对于实际使用人和甲方分离的项目，甲方邀请实际使用人参与验收。</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11.4 如有必要，甲方邀请参加本项目的其他供应商或第三方专业机构及专家参与验收，相关意见将作为验收书的参考资料。</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挂钩。履约验收的各项资料存档备查。</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11.6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500" w:lineRule="exact"/>
        <w:rPr>
          <w:rFonts w:ascii="Calibri" w:hAnsi="Calibri"/>
          <w:sz w:val="24"/>
          <w:szCs w:val="24"/>
        </w:rPr>
      </w:pPr>
      <w:r>
        <w:rPr>
          <w:rFonts w:hint="eastAsia" w:ascii="宋体" w:hAnsi="宋体" w:cs="宋体"/>
          <w:b/>
          <w:color w:val="000000"/>
          <w:sz w:val="24"/>
          <w:szCs w:val="24"/>
        </w:rPr>
        <w:t xml:space="preserve">十二、货物的包装、发运及运输</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12.2 使用说明书、质量检验证明书、随配附件和工具以及清单一并附于货物内。</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12.3 乙方在货物发运手续办理完毕后24小时内或货到甲方48小时前通知甲方，以准备接货。</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12.4 货物在交付甲方前发生的风险均由乙方负责。</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12.5 货物在规定的交付期限内由乙方送达甲方指定的地点视为交付，乙方同时需通知甲方货物已送达。</w:t>
      </w:r>
      <w:r/>
    </w:p>
    <w:p>
      <w:pPr>
        <w:ind w:firstLine="482"/>
        <w:spacing w:line="500" w:lineRule="exact"/>
        <w:rPr>
          <w:rFonts w:ascii="宋体" w:hAnsi="宋体"/>
          <w:b/>
          <w:sz w:val="24"/>
          <w:lang w:val="zh-CN"/>
        </w:rPr>
      </w:pPr>
      <w:r>
        <w:rPr>
          <w:rFonts w:hint="eastAsia" w:ascii="宋体" w:hAnsi="宋体"/>
          <w:b/>
          <w:sz w:val="24"/>
          <w:lang w:val="zh-CN"/>
        </w:rPr>
        <w:t xml:space="preserve">十三、违约责任</w:t>
      </w:r>
      <w:r/>
    </w:p>
    <w:p>
      <w:pPr>
        <w:ind w:firstLine="480"/>
        <w:spacing w:line="50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.1甲方无正当理由拒收货物的，甲方向乙方偿付拒收</w:t>
      </w:r>
      <w:r>
        <w:rPr>
          <w:rFonts w:hint="eastAsia" w:ascii="宋体" w:hAnsi="宋体"/>
          <w:bCs/>
          <w:sz w:val="24"/>
        </w:rPr>
        <w:t xml:space="preserve">部分</w:t>
      </w:r>
      <w:r>
        <w:rPr>
          <w:rFonts w:hint="eastAsia" w:ascii="宋体" w:hAnsi="宋体"/>
          <w:bCs/>
          <w:sz w:val="24"/>
          <w:lang w:val="zh-CN"/>
        </w:rPr>
        <w:t xml:space="preserve">货款总值的百分之五违约金。</w:t>
      </w:r>
      <w:r/>
    </w:p>
    <w:p>
      <w:pPr>
        <w:ind w:firstLine="480"/>
        <w:spacing w:line="50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.2甲方无故逾期验收和办理货款支付手续的，甲方应按逾期付款总额每日万分之五向乙方支付违约金。</w:t>
      </w:r>
      <w:r/>
    </w:p>
    <w:p>
      <w:pPr>
        <w:ind w:firstLine="480"/>
        <w:spacing w:line="50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3乙方逾期交付货物的，乙方应按逾期交货总额每日万分之五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50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0"/>
        <w:spacing w:line="500" w:lineRule="exact"/>
        <w:rPr>
          <w:rFonts w:ascii="宋体" w:hAnsi="宋体"/>
          <w:bCs/>
          <w:sz w:val="24"/>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w:t>
      </w:r>
      <w:r>
        <w:rPr>
          <w:rFonts w:hint="eastAsia" w:ascii="宋体" w:hAnsi="宋体"/>
          <w:bCs/>
          <w:sz w:val="24"/>
        </w:rPr>
        <w:t xml:space="preserve">5 乙方不按合同约定履行质保义务的，甲方可委托第三方维修，乙方应向甲方支付双倍的维修费用。</w:t>
      </w:r>
      <w:r/>
    </w:p>
    <w:p>
      <w:pPr>
        <w:ind w:firstLine="482"/>
        <w:spacing w:line="500" w:lineRule="exact"/>
        <w:rPr>
          <w:rFonts w:ascii="宋体" w:hAnsi="宋体"/>
          <w:b/>
          <w:sz w:val="24"/>
          <w:lang w:val="zh-CN"/>
        </w:rPr>
      </w:pPr>
      <w:r>
        <w:rPr>
          <w:rFonts w:hint="eastAsia" w:ascii="宋体" w:hAnsi="宋体"/>
          <w:b/>
          <w:sz w:val="24"/>
          <w:lang w:val="zh-CN"/>
        </w:rPr>
        <w:t xml:space="preserve">十四、不可抗力事件处理</w:t>
      </w:r>
      <w:r/>
    </w:p>
    <w:p>
      <w:pPr>
        <w:ind w:firstLine="480"/>
        <w:spacing w:line="50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4</w:t>
      </w:r>
      <w:r>
        <w:rPr>
          <w:rFonts w:hint="eastAsia" w:ascii="宋体" w:hAnsi="宋体"/>
          <w:bCs/>
          <w:sz w:val="24"/>
          <w:lang w:val="zh-CN"/>
        </w:rPr>
        <w:t xml:space="preserve">.1在合同有效期内，任何一方因不可抗力事件导致不能履行合同，则合同履行期可延长，其延长期与不可抗力影响期相同。</w:t>
      </w:r>
      <w:r/>
    </w:p>
    <w:p>
      <w:pPr>
        <w:ind w:firstLine="480"/>
        <w:spacing w:line="50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4</w:t>
      </w:r>
      <w:r>
        <w:rPr>
          <w:rFonts w:hint="eastAsia" w:ascii="宋体" w:hAnsi="宋体"/>
          <w:bCs/>
          <w:sz w:val="24"/>
          <w:lang w:val="zh-CN"/>
        </w:rPr>
        <w:t xml:space="preserve">.2不可抗力事件发生后，应立即通知对方，并寄送有关权威机构出具的证明。</w:t>
      </w:r>
      <w:r/>
    </w:p>
    <w:p>
      <w:pPr>
        <w:ind w:firstLine="480"/>
        <w:spacing w:line="50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4</w:t>
      </w:r>
      <w:r>
        <w:rPr>
          <w:rFonts w:hint="eastAsia" w:ascii="宋体" w:hAnsi="宋体"/>
          <w:bCs/>
          <w:sz w:val="24"/>
          <w:lang w:val="zh-CN"/>
        </w:rPr>
        <w:t xml:space="preserve">.3不可抗力事件延续120天以上，双方应通过友好协商，确定是否继续履行合同。</w:t>
      </w:r>
      <w:r/>
    </w:p>
    <w:p>
      <w:pPr>
        <w:ind w:firstLine="482"/>
        <w:spacing w:line="500" w:lineRule="exact"/>
        <w:rPr>
          <w:rFonts w:ascii="Calibri" w:hAnsi="Calibri"/>
          <w:sz w:val="24"/>
          <w:szCs w:val="24"/>
        </w:rPr>
      </w:pPr>
      <w:r>
        <w:rPr>
          <w:rFonts w:hint="eastAsia" w:ascii="宋体" w:hAnsi="宋体" w:cs="宋体"/>
          <w:b/>
          <w:color w:val="000000"/>
          <w:sz w:val="24"/>
          <w:szCs w:val="24"/>
        </w:rPr>
        <w:t xml:space="preserve">十五、解决争议的方法</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15.1甲乙双方因合同签订、履行而发生的一切争议，应通过友好协商解决。如协商不成</w:t>
      </w:r>
      <w:r>
        <w:rPr>
          <w:rFonts w:eastAsia="宋体"/>
          <w:sz w:val="24"/>
          <w:szCs w:val="24"/>
          <w:lang w:val="zh-CN"/>
        </w:rPr>
        <w:t xml:space="preserve">向甲方所在地有管辖权的人民法院提起诉讼</w:t>
      </w:r>
      <w:r>
        <w:rPr>
          <w:rFonts w:hint="eastAsia" w:ascii="宋体" w:hAnsi="宋体" w:cs="宋体"/>
          <w:color w:val="000000"/>
          <w:sz w:val="24"/>
          <w:szCs w:val="24"/>
        </w:rPr>
        <w:t xml:space="preserve">。</w:t>
      </w:r>
      <w:r/>
    </w:p>
    <w:p>
      <w:pPr>
        <w:ind w:firstLine="482"/>
        <w:spacing w:line="500" w:lineRule="exact"/>
        <w:rPr>
          <w:rFonts w:ascii="Calibri" w:hAnsi="Calibri"/>
          <w:sz w:val="24"/>
          <w:szCs w:val="24"/>
        </w:rPr>
      </w:pPr>
      <w:r>
        <w:rPr>
          <w:rFonts w:hint="eastAsia" w:ascii="宋体" w:hAnsi="宋体" w:cs="宋体"/>
          <w:b/>
          <w:color w:val="000000"/>
          <w:sz w:val="24"/>
          <w:szCs w:val="24"/>
        </w:rPr>
        <w:t xml:space="preserve">十六、合同生效及其它</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16.1 合同经双方法定代表人或授权委托代表人签字并加盖单位公章后生效。</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16.2本合同未尽事宜，遵照《中华人民共和国民法典》、《中华人民共和国政府采购法》有关条文执行。</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16.3 本合同正本一式陆份，具有同等法律效力，甲方、乙方各执叁份。</w:t>
      </w:r>
      <w:r/>
    </w:p>
    <w:p>
      <w:pPr>
        <w:pStyle w:val="1004"/>
        <w:ind w:firstLine="480"/>
        <w:spacing w:line="500" w:lineRule="exact"/>
        <w:rPr>
          <w:rFonts w:hAnsi="宋体"/>
          <w:sz w:val="24"/>
          <w:szCs w:val="24"/>
        </w:rPr>
      </w:pPr>
      <w:r>
        <w:rPr>
          <w:rFonts w:hAnsi="宋体"/>
          <w:sz w:val="24"/>
          <w:szCs w:val="24"/>
        </w:rPr>
        <w:t xml:space="preserve">  </w:t>
      </w:r>
      <w:r>
        <w:rPr>
          <w:rFonts w:hint="eastAsia" w:hAnsi="宋体"/>
          <w:sz w:val="24"/>
          <w:szCs w:val="24"/>
        </w:rPr>
        <w:t xml:space="preserve">甲 方：</w:t>
      </w:r>
      <w:r>
        <w:rPr>
          <w:rFonts w:hAnsi="宋体"/>
          <w:sz w:val="24"/>
          <w:szCs w:val="24"/>
        </w:rPr>
        <w:t xml:space="preserve">                                </w:t>
      </w:r>
      <w:r>
        <w:rPr>
          <w:rFonts w:hint="eastAsia" w:hAnsi="宋体"/>
          <w:sz w:val="24"/>
          <w:szCs w:val="24"/>
        </w:rPr>
        <w:t xml:space="preserve"> 乙 方：</w:t>
      </w:r>
      <w:r/>
    </w:p>
    <w:p>
      <w:pPr>
        <w:pStyle w:val="1004"/>
        <w:ind w:firstLine="480"/>
        <w:spacing w:line="500" w:lineRule="exact"/>
        <w:rPr>
          <w:rFonts w:hAnsi="宋体"/>
          <w:sz w:val="24"/>
          <w:szCs w:val="24"/>
        </w:rPr>
      </w:pPr>
      <w:r>
        <w:rPr>
          <w:rFonts w:hAnsi="宋体"/>
          <w:sz w:val="24"/>
          <w:szCs w:val="24"/>
        </w:rPr>
        <w:t xml:space="preserve"> </w:t>
      </w:r>
      <w:r>
        <w:rPr>
          <w:rFonts w:hint="eastAsia" w:hAnsi="宋体"/>
          <w:sz w:val="24"/>
          <w:szCs w:val="24"/>
        </w:rPr>
        <w:t xml:space="preserve"> 地 址：</w:t>
      </w:r>
      <w:r>
        <w:rPr>
          <w:rFonts w:hAnsi="宋体"/>
          <w:sz w:val="24"/>
          <w:szCs w:val="24"/>
        </w:rPr>
        <w:t xml:space="preserve">                                 </w:t>
      </w:r>
      <w:r>
        <w:rPr>
          <w:rFonts w:hint="eastAsia" w:hAnsi="宋体"/>
          <w:sz w:val="24"/>
          <w:szCs w:val="24"/>
        </w:rPr>
        <w:t xml:space="preserve">地 址：</w:t>
      </w:r>
      <w:r/>
    </w:p>
    <w:p>
      <w:pPr>
        <w:pStyle w:val="1004"/>
        <w:ind w:firstLine="480"/>
        <w:spacing w:line="500" w:lineRule="exact"/>
        <w:rPr>
          <w:rFonts w:hAnsi="宋体"/>
          <w:sz w:val="24"/>
          <w:szCs w:val="24"/>
        </w:rPr>
      </w:pPr>
      <w:r>
        <w:rPr>
          <w:rFonts w:hAnsi="宋体"/>
          <w:sz w:val="24"/>
          <w:szCs w:val="24"/>
        </w:rPr>
        <w:t xml:space="preserve"> </w:t>
      </w:r>
      <w:r>
        <w:rPr>
          <w:rFonts w:hint="eastAsia" w:hAnsi="宋体"/>
          <w:sz w:val="24"/>
          <w:szCs w:val="24"/>
        </w:rPr>
        <w:t xml:space="preserve"> 法定代表人或授权代表：</w:t>
      </w:r>
      <w:r>
        <w:rPr>
          <w:rFonts w:hAnsi="宋体"/>
          <w:sz w:val="24"/>
          <w:szCs w:val="24"/>
        </w:rPr>
        <w:t xml:space="preserve">                  </w:t>
      </w:r>
      <w:r>
        <w:rPr>
          <w:rFonts w:hint="eastAsia" w:hAnsi="宋体"/>
          <w:sz w:val="24"/>
          <w:szCs w:val="24"/>
        </w:rPr>
        <w:t xml:space="preserve">法定代表人或授权代表：</w:t>
      </w:r>
      <w:r/>
    </w:p>
    <w:p>
      <w:pPr>
        <w:ind w:firstLine="480"/>
        <w:jc w:val="center"/>
        <w:spacing w:line="500" w:lineRule="exact"/>
        <w:rPr>
          <w:rFonts w:hAnsi="宋体"/>
          <w:sz w:val="24"/>
          <w:szCs w:val="24"/>
        </w:rPr>
      </w:pPr>
      <w:r>
        <w:rPr>
          <w:rFonts w:hint="eastAsia" w:hAnsi="宋体"/>
          <w:sz w:val="24"/>
          <w:szCs w:val="24"/>
        </w:rPr>
        <w:t xml:space="preserve"> </w:t>
      </w:r>
      <w:r>
        <w:rPr>
          <w:rFonts w:hAnsi="宋体"/>
          <w:sz w:val="24"/>
          <w:szCs w:val="24"/>
        </w:rPr>
        <w:t xml:space="preserve">                               </w:t>
      </w:r>
      <w:r/>
    </w:p>
    <w:p>
      <w:pPr>
        <w:ind w:firstLine="480"/>
        <w:jc w:val="center"/>
        <w:spacing w:line="500" w:lineRule="exact"/>
        <w:rPr>
          <w:rFonts w:hAnsi="宋体"/>
          <w:sz w:val="24"/>
          <w:szCs w:val="24"/>
        </w:rPr>
      </w:pPr>
      <w:r>
        <w:rPr>
          <w:rFonts w:hint="eastAsia" w:hAnsi="宋体"/>
          <w:sz w:val="24"/>
          <w:szCs w:val="24"/>
        </w:rPr>
        <w:t xml:space="preserve">日 期：</w:t>
      </w:r>
      <w:r>
        <w:rPr>
          <w:rFonts w:hAnsi="宋体"/>
          <w:sz w:val="24"/>
          <w:szCs w:val="24"/>
        </w:rPr>
        <w:t xml:space="preserve">      </w:t>
      </w:r>
      <w:r>
        <w:rPr>
          <w:rFonts w:hint="eastAsia" w:hAnsi="宋体"/>
          <w:sz w:val="24"/>
          <w:szCs w:val="24"/>
        </w:rPr>
        <w:t xml:space="preserve">年</w:t>
      </w:r>
      <w:r>
        <w:rPr>
          <w:rFonts w:hAnsi="宋体"/>
          <w:sz w:val="24"/>
          <w:szCs w:val="24"/>
        </w:rPr>
        <w:t xml:space="preserve">  </w:t>
      </w:r>
      <w:r>
        <w:rPr>
          <w:rFonts w:hint="eastAsia" w:hAnsi="宋体"/>
          <w:sz w:val="24"/>
          <w:szCs w:val="24"/>
        </w:rPr>
        <w:t xml:space="preserve">月</w:t>
      </w:r>
      <w:r>
        <w:rPr>
          <w:rFonts w:hAnsi="宋体"/>
          <w:sz w:val="24"/>
          <w:szCs w:val="24"/>
        </w:rPr>
        <w:t xml:space="preserve">  </w:t>
      </w:r>
      <w:r>
        <w:rPr>
          <w:rFonts w:hint="eastAsia" w:hAnsi="宋体"/>
          <w:sz w:val="24"/>
          <w:szCs w:val="24"/>
        </w:rPr>
        <w:t xml:space="preserve">日</w:t>
      </w:r>
      <w:r/>
    </w:p>
    <w:p>
      <w:pPr>
        <w:ind w:firstLine="480"/>
        <w:jc w:val="both"/>
        <w:spacing w:line="519" w:lineRule="atLeast"/>
        <w:pBdr>
          <w:top w:val="none" w:color="000000" w:sz="0" w:space="0"/>
          <w:left w:val="none" w:color="000000" w:sz="0" w:space="0"/>
          <w:bottom w:val="none" w:color="000000" w:sz="0" w:space="0"/>
          <w:right w:val="none" w:color="000000" w:sz="0" w:space="0"/>
        </w:pBdr>
      </w:pPr>
      <w:r/>
      <w:r/>
    </w:p>
    <w:p>
      <w:pPr>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bookmarkStart w:id="26" w:name="_Toc207118517"/>
      <w:r/>
      <w:r/>
    </w:p>
    <w:p>
      <w:pPr>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color w:val="000000"/>
          <w:sz w:val="44"/>
        </w:rPr>
        <w:t xml:space="preserve">第四章 采购需求</w:t>
      </w:r>
      <w:bookmarkEnd w:id="26"/>
      <w:r/>
      <w:r/>
    </w:p>
    <w:p>
      <w:pPr>
        <w:spacing w:line="360" w:lineRule="auto"/>
        <w:rPr>
          <w:rFonts w:cs="宋体" w:asciiTheme="minorEastAsia" w:hAnsiTheme="minorEastAsia"/>
          <w:sz w:val="24"/>
        </w:rPr>
      </w:pPr>
      <w:r>
        <w:rPr>
          <w:rFonts w:hint="eastAsia" w:cs="宋体" w:asciiTheme="minorEastAsia" w:hAnsiTheme="minorEastAsia"/>
          <w:sz w:val="24"/>
        </w:rPr>
        <w:t xml:space="preserve">项目属性:货物类项目</w:t>
      </w:r>
      <w:r/>
    </w:p>
    <w:p>
      <w:pPr>
        <w:spacing w:line="360" w:lineRule="auto"/>
        <w:rPr>
          <w:rFonts w:cs="宋体" w:asciiTheme="minorEastAsia" w:hAnsiTheme="minorEastAsia"/>
          <w:sz w:val="24"/>
        </w:rPr>
      </w:pPr>
      <w:r>
        <w:rPr>
          <w:rFonts w:hint="eastAsia" w:cs="宋体" w:asciiTheme="minorEastAsia" w:hAnsiTheme="minorEastAsia"/>
          <w:sz w:val="24"/>
        </w:rPr>
        <w:t xml:space="preserve">项目名称：2025年人防警报设施采购项目</w:t>
      </w:r>
      <w:r/>
    </w:p>
    <w:p>
      <w:pPr>
        <w:spacing w:line="360" w:lineRule="auto"/>
        <w:rPr>
          <w:rFonts w:ascii="宋体" w:hAnsi="宋体" w:eastAsia="宋体" w:cs="宋体"/>
          <w:color w:val="000000"/>
          <w:sz w:val="24"/>
          <w:szCs w:val="24"/>
        </w:rPr>
      </w:pPr>
      <w:r>
        <w:rPr>
          <w:rFonts w:hint="eastAsia" w:cs="宋体" w:asciiTheme="minorEastAsia" w:hAnsiTheme="minorEastAsia"/>
          <w:sz w:val="24"/>
        </w:rPr>
        <w:t xml:space="preserve">项目概况：</w:t>
      </w:r>
      <w:r>
        <w:rPr>
          <w:rFonts w:hint="eastAsia" w:ascii="宋体" w:hAnsi="宋体" w:eastAsia="宋体" w:cs="宋体"/>
          <w:color w:val="000000"/>
          <w:sz w:val="24"/>
          <w:szCs w:val="24"/>
        </w:rPr>
        <w:t xml:space="preserve">2025年人防警报设施采购项目。主要内容为采购20台人防电声警报一体机，并安装到位。</w:t>
      </w:r>
      <w:r/>
    </w:p>
    <w:p>
      <w:pPr>
        <w:spacing w:line="480" w:lineRule="exact"/>
        <w:rPr>
          <w:rFonts w:cs="宋体" w:asciiTheme="minorEastAsia" w:hAnsiTheme="minorEastAsia"/>
          <w:sz w:val="24"/>
        </w:rPr>
      </w:pPr>
      <w:r>
        <w:rPr>
          <w:rFonts w:hint="eastAsia" w:cs="宋体" w:asciiTheme="minorEastAsia" w:hAnsiTheme="minorEastAsia"/>
          <w:sz w:val="24"/>
        </w:rPr>
        <w:t xml:space="preserve">一、采购清单如下：</w:t>
      </w:r>
      <w:r/>
    </w:p>
    <w:p>
      <w:r/>
      <w:r/>
    </w:p>
    <w:tbl>
      <w:tblPr>
        <w:tblStyle w:val="685"/>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741"/>
        <w:gridCol w:w="907"/>
        <w:gridCol w:w="1009"/>
        <w:gridCol w:w="7197"/>
      </w:tblGrid>
      <w:tr>
        <w:trPr>
          <w:jc w:val="center"/>
          <w:trHeight w:val="930"/>
        </w:trPr>
        <w:tc>
          <w:tcPr>
            <w:shd w:val="clear" w:color="auto" w:fill="e6e6e6"/>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jc w:val="center"/>
              <w:rPr>
                <w:rFonts w:ascii="宋体" w:hAnsi="宋体" w:cs="宋体"/>
                <w:b/>
                <w:bCs/>
                <w:color w:val="000000"/>
                <w:sz w:val="22"/>
              </w:rPr>
            </w:pPr>
            <w:r>
              <w:rPr>
                <w:rFonts w:hint="eastAsia" w:ascii="宋体" w:hAnsi="宋体" w:cs="宋体"/>
                <w:b/>
                <w:bCs/>
                <w:color w:val="000000"/>
                <w:sz w:val="22"/>
                <w:lang w:bidi="ar"/>
              </w:rPr>
              <w:t xml:space="preserve">序号</w:t>
            </w:r>
            <w:r/>
          </w:p>
        </w:tc>
        <w:tc>
          <w:tcPr>
            <w:shd w:val="clear" w:color="auto" w:fill="e6e6e6"/>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jc w:val="center"/>
              <w:rPr>
                <w:rFonts w:ascii="宋体" w:hAnsi="宋体" w:cs="宋体"/>
                <w:b/>
                <w:bCs/>
                <w:color w:val="000000"/>
                <w:sz w:val="22"/>
              </w:rPr>
            </w:pPr>
            <w:r>
              <w:rPr>
                <w:rFonts w:hint="eastAsia" w:ascii="宋体" w:hAnsi="宋体" w:cs="宋体"/>
                <w:b/>
                <w:bCs/>
                <w:color w:val="000000"/>
                <w:sz w:val="22"/>
                <w:lang w:bidi="ar"/>
              </w:rPr>
              <w:t xml:space="preserve">设备名称</w:t>
            </w:r>
            <w:r/>
          </w:p>
        </w:tc>
        <w:tc>
          <w:tcPr>
            <w:shd w:val="clear" w:color="auto" w:fill="e6e6e6"/>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jc w:val="center"/>
              <w:rPr>
                <w:rFonts w:ascii="宋体" w:hAnsi="宋体" w:cs="宋体"/>
                <w:b/>
                <w:bCs/>
                <w:color w:val="000000"/>
                <w:sz w:val="22"/>
              </w:rPr>
            </w:pPr>
            <w:r>
              <w:rPr>
                <w:rFonts w:hint="eastAsia" w:ascii="宋体" w:hAnsi="宋体" w:cs="宋体"/>
                <w:b/>
                <w:bCs/>
                <w:color w:val="000000"/>
                <w:sz w:val="22"/>
                <w:lang w:bidi="ar"/>
              </w:rPr>
              <w:t xml:space="preserve">数量（套）</w:t>
            </w:r>
            <w:r/>
          </w:p>
        </w:tc>
        <w:tc>
          <w:tcPr>
            <w:shd w:val="clear" w:color="auto" w:fill="e6e6e6"/>
            <w:tcBorders>
              <w:top w:val="single" w:color="000000" w:sz="4" w:space="0"/>
              <w:left w:val="single" w:color="000000" w:sz="4" w:space="0"/>
              <w:bottom w:val="single" w:color="000000" w:sz="4" w:space="0"/>
              <w:right w:val="single" w:color="000000" w:sz="4" w:space="0"/>
            </w:tcBorders>
            <w:tcW w:w="3652" w:type="pct"/>
            <w:vAlign w:val="center"/>
            <w:textDirection w:val="lrTb"/>
            <w:noWrap w:val="false"/>
          </w:tcPr>
          <w:p>
            <w:pPr>
              <w:jc w:val="center"/>
              <w:rPr>
                <w:rFonts w:ascii="宋体" w:hAnsi="宋体" w:cs="宋体"/>
                <w:b/>
                <w:bCs/>
                <w:color w:val="000000"/>
                <w:sz w:val="22"/>
              </w:rPr>
            </w:pPr>
            <w:r>
              <w:rPr>
                <w:rFonts w:hint="eastAsia" w:ascii="宋体" w:hAnsi="宋体" w:cs="宋体"/>
                <w:b/>
                <w:bCs/>
                <w:color w:val="000000"/>
                <w:sz w:val="22"/>
                <w:lang w:bidi="ar"/>
              </w:rPr>
              <w:t xml:space="preserve">功能及参数说明</w:t>
            </w:r>
            <w:r/>
          </w:p>
        </w:tc>
      </w:tr>
      <w:tr>
        <w:trPr>
          <w:jc w:val="center"/>
          <w:trHeight w:val="375"/>
        </w:trPr>
        <w:tc>
          <w:tcPr>
            <w:gridSpan w:val="4"/>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ascii="宋体" w:hAnsi="宋体" w:cs="宋体"/>
                <w:b/>
                <w:bCs/>
                <w:color w:val="000000"/>
                <w:sz w:val="22"/>
              </w:rPr>
            </w:pPr>
            <w:r>
              <w:rPr>
                <w:rFonts w:hint="eastAsia" w:ascii="宋体" w:hAnsi="宋体" w:cs="宋体"/>
                <w:b/>
                <w:bCs/>
                <w:color w:val="000000"/>
                <w:sz w:val="22"/>
                <w:lang w:bidi="ar"/>
              </w:rPr>
              <w:t xml:space="preserve">一、电声警报一体机</w:t>
            </w:r>
            <w:r/>
          </w:p>
        </w:tc>
      </w:tr>
      <w:tr>
        <w:trPr>
          <w:jc w:val="center"/>
          <w:trHeight w:val="6585"/>
        </w:trPr>
        <w:tc>
          <w:tcPr>
            <w:shd w:val="clear" w:color="auto" w:fill="ffffff"/>
            <w:tcBorders>
              <w:top w:val="single" w:color="000000" w:sz="4" w:space="0"/>
              <w:left w:val="single" w:color="000000" w:sz="4" w:space="0"/>
              <w:bottom w:val="none" w:color="000000" w:sz="4" w:space="0"/>
              <w:right w:val="single" w:color="000000" w:sz="4" w:space="0"/>
            </w:tcBorders>
            <w:tcW w:w="376"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460"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主机</w:t>
            </w:r>
            <w:r/>
          </w:p>
        </w:tc>
        <w:tc>
          <w:tcPr>
            <w:shd w:val="clear" w:color="auto" w:fill="ffffff"/>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20套</w:t>
            </w:r>
            <w:r/>
          </w:p>
        </w:tc>
        <w:tc>
          <w:tcPr>
            <w:tcBorders>
              <w:top w:val="single" w:color="000000" w:sz="4" w:space="0"/>
              <w:left w:val="single" w:color="000000" w:sz="4" w:space="0"/>
              <w:bottom w:val="none" w:color="000000" w:sz="4" w:space="0"/>
              <w:right w:val="single" w:color="000000" w:sz="4" w:space="0"/>
            </w:tcBorders>
            <w:tcW w:w="3652"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1、电声警报一体机必须符合《人民防空警报控制系统通用要求》(RFHB 03-2014)、《人民防空警报控制系统用抗干扰无线数字传输单元通用规范》(RFHB05-2014) 要求，能与盐城市现有警报控制系统完全兼容。</w:t>
            </w:r>
            <w:r>
              <w:rPr>
                <w:rFonts w:hint="eastAsia" w:ascii="宋体" w:hAnsi="宋体" w:cs="宋体"/>
                <w:color w:val="000000"/>
                <w:sz w:val="22"/>
                <w:lang w:bidi="ar"/>
              </w:rPr>
              <w:br/>
            </w:r>
            <w:r>
              <w:rPr>
                <w:rFonts w:hint="eastAsia" w:ascii="宋体" w:hAnsi="宋体" w:cs="宋体"/>
                <w:color w:val="000000"/>
                <w:sz w:val="22"/>
                <w:lang w:bidi="ar"/>
              </w:rPr>
              <w:t xml:space="preserve">2、信号源:预先警报、防空袭警报、解除警报、灾害警报;控制方式:满足多种控制方式:配有音源输入口，可用DC48电瓶供电，内置监听器;</w:t>
            </w:r>
            <w:r>
              <w:rPr>
                <w:rFonts w:hint="eastAsia" w:ascii="宋体" w:hAnsi="宋体" w:cs="宋体"/>
                <w:color w:val="000000"/>
                <w:sz w:val="22"/>
                <w:lang w:bidi="ar"/>
              </w:rPr>
              <w:br/>
            </w:r>
            <w:r>
              <w:rPr>
                <w:rFonts w:hint="eastAsia" w:ascii="宋体" w:hAnsi="宋体" w:cs="宋体"/>
                <w:color w:val="000000"/>
                <w:sz w:val="22"/>
                <w:lang w:bidi="ar"/>
              </w:rPr>
              <w:t xml:space="preserve">3、各项技术标准应当符合国家人防办颁发的标准及各项规范要求:国家没有相应标准、规范的，可使用行业规定的质量、规格和性能的要求。</w:t>
            </w:r>
            <w:r>
              <w:rPr>
                <w:rFonts w:hint="eastAsia" w:ascii="宋体" w:hAnsi="宋体" w:cs="宋体"/>
                <w:color w:val="000000"/>
                <w:sz w:val="22"/>
                <w:lang w:bidi="ar"/>
              </w:rPr>
              <w:br/>
            </w:r>
            <w:r>
              <w:rPr>
                <w:rFonts w:hint="eastAsia" w:ascii="宋体" w:hAnsi="宋体" w:cs="宋体"/>
                <w:color w:val="000000"/>
                <w:sz w:val="22"/>
                <w:lang w:bidi="ar"/>
              </w:rPr>
              <w:t xml:space="preserve">4、设备必须采用符合《人民防空警报控制系统用抗干扰无线数字传输单元通用规范》(FHB 05-2014) 的数字电台。</w:t>
            </w:r>
            <w:r>
              <w:rPr>
                <w:rFonts w:hint="eastAsia" w:ascii="宋体" w:hAnsi="宋体" w:cs="宋体"/>
                <w:color w:val="000000"/>
                <w:sz w:val="22"/>
                <w:lang w:bidi="ar"/>
              </w:rPr>
              <w:br/>
            </w:r>
            <w:r>
              <w:rPr>
                <w:rFonts w:hint="eastAsia" w:ascii="宋体" w:hAnsi="宋体" w:cs="宋体"/>
                <w:color w:val="000000"/>
                <w:sz w:val="22"/>
                <w:lang w:bidi="ar"/>
              </w:rPr>
              <w:t xml:space="preserve">5、额定工作电压: 220士15% 50Hz士lHz;</w:t>
            </w:r>
            <w:r>
              <w:rPr>
                <w:rFonts w:hint="eastAsia" w:ascii="宋体" w:hAnsi="宋体" w:cs="宋体"/>
                <w:color w:val="000000"/>
                <w:sz w:val="22"/>
                <w:lang w:bidi="ar"/>
              </w:rPr>
              <w:br/>
            </w:r>
            <w:r>
              <w:rPr>
                <w:rFonts w:hint="eastAsia" w:ascii="宋体" w:hAnsi="宋体" w:cs="宋体"/>
                <w:color w:val="000000"/>
                <w:sz w:val="22"/>
                <w:lang w:bidi="ar"/>
              </w:rPr>
              <w:t xml:space="preserve">输出额定阻抗: 8</w:t>
            </w:r>
            <w:r>
              <w:rPr>
                <w:rFonts w:hint="eastAsia" w:ascii="宋体" w:hAnsi="宋体"/>
                <w:color w:val="000000"/>
                <w:szCs w:val="21"/>
              </w:rPr>
              <w:t xml:space="preserve">Ω</w:t>
            </w:r>
            <w:r>
              <w:rPr>
                <w:rFonts w:hint="eastAsia" w:ascii="宋体" w:hAnsi="宋体" w:cs="宋体"/>
                <w:color w:val="000000"/>
                <w:sz w:val="22"/>
                <w:lang w:bidi="ar"/>
              </w:rPr>
              <w:t xml:space="preserve">X4;</w:t>
            </w:r>
            <w:r>
              <w:rPr>
                <w:rFonts w:hint="eastAsia" w:ascii="宋体" w:hAnsi="宋体" w:cs="宋体"/>
                <w:color w:val="000000"/>
                <w:sz w:val="22"/>
                <w:lang w:bidi="ar"/>
              </w:rPr>
              <w:br/>
            </w:r>
            <w:r>
              <w:rPr>
                <w:rFonts w:hint="eastAsia" w:ascii="宋体" w:hAnsi="宋体" w:cs="宋体"/>
                <w:color w:val="000000"/>
                <w:sz w:val="22"/>
                <w:lang w:bidi="ar"/>
              </w:rPr>
              <w:t xml:space="preserve">输出功率:四路输出，单路≥400W， 总功率≥2000W；</w:t>
            </w:r>
            <w:r>
              <w:rPr>
                <w:rFonts w:hint="eastAsia" w:ascii="宋体" w:hAnsi="宋体" w:cs="宋体"/>
                <w:color w:val="000000"/>
                <w:sz w:val="22"/>
                <w:lang w:bidi="ar"/>
              </w:rPr>
              <w:br/>
            </w:r>
            <w:r>
              <w:rPr>
                <w:rFonts w:hint="eastAsia" w:ascii="宋体" w:hAnsi="宋体" w:cs="宋体"/>
                <w:color w:val="000000"/>
                <w:sz w:val="22"/>
                <w:lang w:bidi="ar"/>
              </w:rPr>
              <w:t xml:space="preserve">频率范围: 250Hz 4000Hz;</w:t>
            </w:r>
            <w:r>
              <w:rPr>
                <w:rFonts w:hint="eastAsia" w:ascii="宋体" w:hAnsi="宋体" w:cs="宋体"/>
                <w:color w:val="000000"/>
                <w:sz w:val="22"/>
                <w:lang w:bidi="ar"/>
              </w:rPr>
              <w:br/>
            </w:r>
            <w:r>
              <w:rPr>
                <w:rFonts w:hint="eastAsia" w:ascii="宋体" w:hAnsi="宋体" w:cs="微软雅黑"/>
                <w:color w:val="000000"/>
                <w:sz w:val="22"/>
                <w:lang w:bidi="ar"/>
              </w:rPr>
              <w:t xml:space="preserve">抗同频干扰</w:t>
            </w:r>
            <w:r>
              <w:rPr>
                <w:rFonts w:hint="eastAsia" w:ascii="宋体" w:hAnsi="宋体" w:cs="宋体"/>
                <w:color w:val="000000"/>
                <w:sz w:val="22"/>
                <w:lang w:bidi="ar"/>
              </w:rPr>
              <w:t xml:space="preserve">:≥3dB (600bit/s, </w:t>
            </w:r>
            <w:r>
              <w:rPr>
                <w:rFonts w:hint="eastAsia" w:ascii="宋体" w:hAnsi="宋体" w:cs="微软雅黑"/>
                <w:color w:val="000000"/>
                <w:sz w:val="22"/>
                <w:lang w:bidi="ar"/>
              </w:rPr>
              <w:t xml:space="preserve">丢包率为</w:t>
            </w:r>
            <w:r>
              <w:rPr>
                <w:rFonts w:hint="eastAsia" w:ascii="宋体" w:hAnsi="宋体" w:cs="宋体"/>
                <w:color w:val="000000"/>
                <w:sz w:val="22"/>
              </w:rPr>
              <w:t xml:space="preserve">5X 10</w:t>
            </w:r>
            <w:r>
              <w:rPr>
                <w:rFonts w:hint="eastAsia" w:ascii="宋体" w:hAnsi="宋体" w:cs="宋体"/>
                <w:color w:val="000000"/>
                <w:sz w:val="22"/>
                <w:vertAlign w:val="superscript"/>
              </w:rPr>
              <w:t xml:space="preserve">-2</w:t>
            </w:r>
            <w:r>
              <w:rPr>
                <w:rFonts w:hint="eastAsia" w:ascii="宋体" w:hAnsi="宋体" w:cs="宋体"/>
                <w:color w:val="000000"/>
                <w:sz w:val="22"/>
                <w:lang w:bidi="ar"/>
              </w:rPr>
              <w:t xml:space="preserve">):</w:t>
            </w:r>
            <w:r>
              <w:rPr>
                <w:rFonts w:hint="eastAsia" w:ascii="宋体" w:hAnsi="宋体" w:cs="宋体"/>
                <w:color w:val="000000"/>
                <w:sz w:val="22"/>
                <w:lang w:bidi="ar"/>
              </w:rPr>
              <w:br/>
            </w:r>
            <w:r>
              <w:rPr>
                <w:rFonts w:hint="eastAsia" w:ascii="宋体" w:hAnsi="宋体" w:cs="微软雅黑"/>
                <w:color w:val="000000"/>
                <w:sz w:val="22"/>
                <w:lang w:bidi="ar"/>
              </w:rPr>
              <w:t xml:space="preserve">抗单频干扰</w:t>
            </w:r>
            <w:r>
              <w:rPr>
                <w:rFonts w:hint="eastAsia" w:ascii="宋体" w:hAnsi="宋体" w:cs="宋体"/>
                <w:color w:val="000000"/>
                <w:sz w:val="22"/>
                <w:lang w:bidi="ar"/>
              </w:rPr>
              <w:t xml:space="preserve">:≥3dB (600bit/s, </w:t>
            </w:r>
            <w:r>
              <w:rPr>
                <w:rFonts w:hint="eastAsia" w:ascii="宋体" w:hAnsi="宋体" w:cs="微软雅黑"/>
                <w:color w:val="000000"/>
                <w:sz w:val="22"/>
                <w:lang w:bidi="ar"/>
              </w:rPr>
              <w:t xml:space="preserve">丢包率为</w:t>
            </w:r>
            <w:r>
              <w:rPr>
                <w:rFonts w:hint="eastAsia" w:ascii="宋体" w:hAnsi="宋体" w:cs="宋体"/>
                <w:color w:val="000000"/>
                <w:sz w:val="22"/>
              </w:rPr>
              <w:t xml:space="preserve">5X 10</w:t>
            </w:r>
            <w:r>
              <w:rPr>
                <w:rFonts w:hint="eastAsia" w:ascii="宋体" w:hAnsi="宋体" w:cs="宋体"/>
                <w:color w:val="000000"/>
                <w:sz w:val="22"/>
                <w:vertAlign w:val="superscript"/>
              </w:rPr>
              <w:t xml:space="preserve">-2</w:t>
            </w:r>
            <w:r>
              <w:rPr>
                <w:rFonts w:hint="eastAsia" w:ascii="宋体" w:hAnsi="宋体" w:cs="宋体"/>
                <w:color w:val="000000"/>
                <w:sz w:val="22"/>
                <w:lang w:bidi="ar"/>
              </w:rPr>
              <w:t xml:space="preserve">):</w:t>
            </w:r>
            <w:r>
              <w:rPr>
                <w:rFonts w:hint="eastAsia" w:ascii="宋体" w:hAnsi="宋体" w:cs="宋体"/>
                <w:color w:val="000000"/>
                <w:sz w:val="22"/>
                <w:lang w:bidi="ar"/>
              </w:rPr>
              <w:br/>
            </w:r>
            <w:r>
              <w:rPr>
                <w:rFonts w:hint="eastAsia" w:ascii="宋体" w:hAnsi="宋体" w:cs="微软雅黑"/>
                <w:color w:val="000000"/>
                <w:sz w:val="22"/>
                <w:lang w:bidi="ar"/>
              </w:rPr>
              <w:t xml:space="preserve">抗白噪声干扰性能</w:t>
            </w:r>
            <w:r>
              <w:rPr>
                <w:rFonts w:hint="eastAsia" w:ascii="宋体" w:hAnsi="宋体" w:cs="宋体"/>
                <w:color w:val="000000"/>
                <w:sz w:val="22"/>
                <w:lang w:bidi="ar"/>
              </w:rPr>
              <w:t xml:space="preserve">:≥3dB (600bit/s, 丢</w:t>
            </w:r>
            <w:r>
              <w:rPr>
                <w:rFonts w:hint="eastAsia" w:ascii="宋体" w:hAnsi="宋体" w:cs="微软雅黑"/>
                <w:color w:val="000000"/>
                <w:sz w:val="22"/>
                <w:lang w:bidi="ar"/>
              </w:rPr>
              <w:t xml:space="preserve">包率为</w:t>
            </w:r>
            <w:r>
              <w:rPr>
                <w:rFonts w:hint="eastAsia" w:ascii="宋体" w:hAnsi="宋体" w:cs="宋体"/>
                <w:color w:val="000000"/>
                <w:sz w:val="22"/>
              </w:rPr>
              <w:t xml:space="preserve">5X 10</w:t>
            </w:r>
            <w:r>
              <w:rPr>
                <w:rFonts w:hint="eastAsia" w:ascii="宋体" w:hAnsi="宋体" w:cs="宋体"/>
                <w:color w:val="000000"/>
                <w:sz w:val="22"/>
                <w:vertAlign w:val="superscript"/>
              </w:rPr>
              <w:t xml:space="preserve">-2</w:t>
            </w:r>
            <w:r>
              <w:rPr>
                <w:rFonts w:hint="eastAsia" w:ascii="宋体" w:hAnsi="宋体" w:cs="宋体"/>
                <w:color w:val="000000"/>
                <w:sz w:val="22"/>
                <w:lang w:bidi="ar"/>
              </w:rPr>
              <w:t xml:space="preserve">)</w:t>
            </w:r>
            <w:r>
              <w:rPr>
                <w:rFonts w:hint="eastAsia" w:ascii="宋体" w:hAnsi="宋体" w:cs="宋体"/>
                <w:color w:val="000000"/>
                <w:sz w:val="22"/>
                <w:lang w:bidi="ar"/>
              </w:rPr>
              <w:br/>
            </w:r>
            <w:r>
              <w:rPr>
                <w:rFonts w:hint="eastAsia" w:ascii="宋体" w:hAnsi="宋体" w:cs="宋体"/>
                <w:color w:val="000000"/>
                <w:sz w:val="22"/>
                <w:lang w:bidi="ar"/>
              </w:rPr>
              <w:t xml:space="preserve">6、</w:t>
            </w:r>
            <w:r>
              <w:rPr>
                <w:rFonts w:hint="eastAsia" w:ascii="宋体" w:hAnsi="宋体" w:cs="微软雅黑"/>
                <w:color w:val="000000"/>
                <w:sz w:val="22"/>
                <w:lang w:bidi="ar"/>
              </w:rPr>
              <w:t xml:space="preserve">设备必须具备双系统防误鸣功能:能够基于警报控制系统的通信网络，自动控制警报器自动上电、关电及警报器误鸣检测，可对现有警报控制系统的进行补充可极大降低或杜绝警报误鸣，同时便于管理，上电断电及时，时效高，反应快速快。</w:t>
            </w:r>
            <w:r>
              <w:rPr>
                <w:rFonts w:hint="eastAsia" w:ascii="宋体" w:hAnsi="宋体" w:cs="微软雅黑"/>
                <w:color w:val="0000ff"/>
                <w:sz w:val="22"/>
                <w:lang w:bidi="ar"/>
              </w:rPr>
              <w:br/>
            </w:r>
            <w:r>
              <w:rPr>
                <w:rFonts w:hint="eastAsia" w:ascii="宋体" w:hAnsi="宋体" w:cs="宋体"/>
                <w:color w:val="000000"/>
                <w:sz w:val="22"/>
                <w:lang w:bidi="ar"/>
              </w:rPr>
              <w:t xml:space="preserve">以上提供技术支持资料(如白皮书、彩页、手册、检测报告等)</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天线</w:t>
            </w:r>
            <w:r/>
          </w:p>
        </w:tc>
        <w:tc>
          <w:tcPr>
            <w:shd w:val="clear" w:color="auto" w:fill="ffffff"/>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20套</w:t>
            </w:r>
            <w:r/>
          </w:p>
        </w:tc>
        <w:tc>
          <w:tcPr>
            <w:tcBorders>
              <w:top w:val="single" w:color="000000" w:sz="4" w:space="0"/>
              <w:left w:val="single" w:color="000000" w:sz="4" w:space="0"/>
              <w:bottom w:val="single" w:color="000000" w:sz="4" w:space="0"/>
              <w:right w:val="single" w:color="000000" w:sz="4" w:space="0"/>
            </w:tcBorders>
            <w:tcW w:w="3652" w:type="pct"/>
            <w:vAlign w:val="center"/>
            <w:textDirection w:val="lrTb"/>
            <w:noWrap w:val="false"/>
          </w:tcPr>
          <w:p>
            <w:pPr>
              <w:rPr>
                <w:rFonts w:ascii="宋体" w:hAnsi="宋体" w:cs="宋体"/>
                <w:color w:val="000000"/>
                <w:sz w:val="22"/>
              </w:rPr>
            </w:pPr>
            <w:r>
              <w:rPr>
                <w:rFonts w:hint="eastAsia" w:ascii="宋体" w:hAnsi="宋体" w:cs="宋体"/>
                <w:sz w:val="22"/>
                <w:lang w:bidi="ar"/>
              </w:rPr>
              <w:t xml:space="preserve">玻璃钢天线，含支架，频率范围220-240MHZ,全向增益3</w:t>
            </w:r>
            <w:r>
              <w:rPr>
                <w:rFonts w:ascii="宋体" w:hAnsi="宋体" w:cs="宋体"/>
                <w:sz w:val="22"/>
                <w:lang w:bidi="ar"/>
              </w:rPr>
              <w:t xml:space="preserve">-</w:t>
            </w:r>
            <w:r>
              <w:rPr>
                <w:rFonts w:hint="eastAsia" w:ascii="宋体" w:hAnsi="宋体" w:cs="宋体"/>
                <w:sz w:val="22"/>
                <w:lang w:bidi="ar"/>
              </w:rPr>
              <w:t xml:space="preserve">5db ，垂直极化，长度约1M</w:t>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376"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0"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馈线</w:t>
            </w:r>
            <w:r/>
          </w:p>
        </w:tc>
        <w:tc>
          <w:tcPr>
            <w:shd w:val="clear" w:color="auto" w:fill="ffffff"/>
            <w:tcBorders>
              <w:top w:val="single" w:color="000000" w:sz="4" w:space="0"/>
              <w:left w:val="single" w:color="000000" w:sz="4" w:space="0"/>
              <w:bottom w:val="single" w:color="000000" w:sz="4" w:space="0"/>
              <w:right w:val="single" w:color="000000" w:sz="4" w:space="0"/>
            </w:tcBorders>
            <w:tcW w:w="512"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20套</w:t>
            </w:r>
            <w:r/>
          </w:p>
        </w:tc>
        <w:tc>
          <w:tcPr>
            <w:tcBorders>
              <w:top w:val="single" w:color="000000" w:sz="4" w:space="0"/>
              <w:left w:val="single" w:color="000000" w:sz="4" w:space="0"/>
              <w:bottom w:val="single" w:color="000000" w:sz="4" w:space="0"/>
              <w:right w:val="single" w:color="000000" w:sz="4" w:space="0"/>
            </w:tcBorders>
            <w:tcW w:w="3652"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SYV-50-5 ，纯铜同轴电缆，阻抗≥50Ω,长度≥15m</w:t>
            </w:r>
            <w:r/>
          </w:p>
        </w:tc>
      </w:tr>
    </w:tbl>
    <w:p>
      <w:pPr>
        <w:jc w:val="center"/>
        <w:rPr>
          <w:rFonts w:ascii="宋体" w:hAnsi="宋体" w:eastAsia="宋体" w:cs="宋体"/>
          <w:b/>
          <w:bCs/>
          <w:color w:val="000000"/>
          <w:sz w:val="24"/>
          <w:szCs w:val="24"/>
          <w:lang w:bidi="ar"/>
        </w:rPr>
        <w:sectPr>
          <w:footerReference w:type="default" r:id="rId9"/>
          <w:footnotePr/>
          <w:endnotePr/>
          <w:type w:val="nextPage"/>
          <w:pgSz w:w="11906" w:h="16838" w:orient="portrait"/>
          <w:pgMar w:top="1134" w:right="1134" w:bottom="1134" w:left="1134" w:header="709" w:footer="709" w:gutter="0"/>
          <w:cols w:num="1" w:sep="0" w:space="1701" w:equalWidth="1"/>
          <w:docGrid w:linePitch="360"/>
        </w:sectPr>
      </w:pPr>
      <w:r>
        <w:rPr>
          <w:rFonts w:ascii="宋体" w:hAnsi="宋体" w:eastAsia="宋体" w:cs="宋体"/>
          <w:b/>
          <w:bCs/>
          <w:color w:val="000000"/>
          <w:sz w:val="24"/>
          <w:szCs w:val="24"/>
          <w:lang w:bidi="ar"/>
        </w:rPr>
      </w:r>
      <w:r/>
    </w:p>
    <w:p>
      <w:pPr>
        <w:ind w:firstLine="482"/>
        <w:spacing w:line="500" w:lineRule="exact"/>
        <w:rPr>
          <w:rFonts w:ascii="宋体" w:hAnsi="宋体"/>
          <w:b/>
          <w:sz w:val="24"/>
          <w:szCs w:val="24"/>
        </w:rPr>
      </w:pPr>
      <w:r>
        <w:rPr>
          <w:rFonts w:hint="eastAsia" w:ascii="宋体" w:hAnsi="宋体"/>
          <w:b/>
          <w:sz w:val="24"/>
          <w:szCs w:val="24"/>
        </w:rPr>
        <w:t xml:space="preserve">二、报价要求</w:t>
      </w:r>
      <w:r/>
    </w:p>
    <w:p>
      <w:pPr>
        <w:ind w:firstLine="480"/>
        <w:spacing w:line="500" w:lineRule="exact"/>
        <w:rPr>
          <w:rFonts w:ascii="宋体" w:hAnsi="宋体"/>
          <w:sz w:val="24"/>
          <w:szCs w:val="24"/>
        </w:rPr>
      </w:pPr>
      <w:r>
        <w:rPr>
          <w:rFonts w:hint="eastAsia" w:ascii="宋体" w:hAnsi="宋体"/>
          <w:sz w:val="24"/>
          <w:szCs w:val="24"/>
        </w:rPr>
        <w:t xml:space="preserve">投标总报价一次报定，包括全部产品及其备品、备件和专用工具费用、仓储费、税费及包装、运至最终目的地的运输、保险、检测验收、卸载、安装、调试、维修、技术支持与培训、售后服务与维保及相关劳务支出等工作所发生的全部费用以及供应商企业利润、税金和政策性文件规定及合同包含的所有风险、责任等各项应有费用。</w:t>
      </w:r>
      <w:r/>
    </w:p>
    <w:p>
      <w:pPr>
        <w:ind w:firstLine="482"/>
        <w:spacing w:line="500" w:lineRule="exact"/>
        <w:rPr>
          <w:rFonts w:ascii="宋体" w:hAnsi="宋体"/>
          <w:b/>
          <w:sz w:val="24"/>
          <w:szCs w:val="24"/>
        </w:rPr>
      </w:pPr>
      <w:r>
        <w:rPr>
          <w:rFonts w:hint="eastAsia" w:ascii="宋体" w:hAnsi="宋体"/>
          <w:b/>
          <w:sz w:val="24"/>
          <w:szCs w:val="24"/>
        </w:rPr>
        <w:t xml:space="preserve">三、包装和装运</w:t>
      </w:r>
      <w:r/>
    </w:p>
    <w:p>
      <w:pPr>
        <w:ind w:firstLine="480"/>
        <w:spacing w:line="500" w:lineRule="exact"/>
        <w:rPr>
          <w:rFonts w:ascii="宋体" w:hAnsi="宋体"/>
          <w:sz w:val="24"/>
          <w:szCs w:val="24"/>
        </w:rPr>
      </w:pPr>
      <w:r>
        <w:rPr>
          <w:rFonts w:hint="eastAsia" w:ascii="宋体" w:hAnsi="宋体"/>
          <w:sz w:val="24"/>
          <w:szCs w:val="24"/>
        </w:rPr>
        <w:t xml:space="preserve">1、包装必须与运输方式相适应，包装方式具体由中标供应商负责并结合采购人相关要求确定；由于不适当的包装而造成货物在运输过程中有任何损坏由中标供应商负责。</w:t>
      </w:r>
      <w:r/>
    </w:p>
    <w:p>
      <w:pPr>
        <w:ind w:firstLine="480"/>
        <w:spacing w:line="500" w:lineRule="exact"/>
        <w:rPr>
          <w:rFonts w:ascii="宋体" w:hAnsi="宋体"/>
          <w:sz w:val="24"/>
          <w:szCs w:val="24"/>
        </w:rPr>
      </w:pPr>
      <w:r>
        <w:rPr>
          <w:rFonts w:hint="eastAsia" w:ascii="宋体" w:hAnsi="宋体"/>
          <w:sz w:val="24"/>
          <w:szCs w:val="24"/>
        </w:rPr>
        <w:t xml:space="preserve">2、包装应足以承受整个过程中的运输、转运、装卸、储存等，充分考虑到运输途中的各种情况（如暴露于恶劣气候等）。</w:t>
      </w:r>
      <w:r/>
    </w:p>
    <w:p>
      <w:pPr>
        <w:ind w:firstLine="482"/>
        <w:spacing w:line="500" w:lineRule="exact"/>
        <w:rPr>
          <w:rFonts w:ascii="宋体" w:hAnsi="宋体" w:cs="宋体"/>
          <w:sz w:val="24"/>
          <w:szCs w:val="24"/>
        </w:rPr>
      </w:pPr>
      <w:r/>
      <w:bookmarkStart w:id="27" w:name="_Hlk58178537"/>
      <w:r>
        <w:rPr>
          <w:rFonts w:hint="eastAsia" w:ascii="宋体" w:hAnsi="宋体"/>
          <w:b/>
          <w:sz w:val="24"/>
          <w:szCs w:val="24"/>
        </w:rPr>
        <w:t xml:space="preserve">四、交货时间：</w:t>
      </w:r>
      <w:r>
        <w:rPr>
          <w:rFonts w:hint="eastAsia" w:ascii="宋体" w:hAnsi="宋体" w:cs="宋体"/>
          <w:sz w:val="24"/>
          <w:szCs w:val="24"/>
        </w:rPr>
        <w:t xml:space="preserve">自合同签订之日起90天内通过验收，交付使用</w:t>
      </w:r>
      <w:r>
        <w:rPr>
          <w:rFonts w:hint="eastAsia" w:ascii="宋体" w:hAnsi="宋体" w:eastAsia="宋体" w:cs="宋体"/>
          <w:color w:val="000000"/>
          <w:sz w:val="24"/>
          <w:szCs w:val="24"/>
        </w:rPr>
        <w:t xml:space="preserve">。</w:t>
      </w:r>
      <w:bookmarkEnd w:id="27"/>
      <w:r/>
      <w:r/>
    </w:p>
    <w:p>
      <w:pPr>
        <w:ind w:firstLine="482"/>
        <w:spacing w:line="500" w:lineRule="exact"/>
        <w:rPr>
          <w:rFonts w:ascii="宋体" w:hAnsi="宋体"/>
          <w:sz w:val="24"/>
          <w:szCs w:val="24"/>
        </w:rPr>
      </w:pPr>
      <w:r/>
      <w:bookmarkStart w:id="28" w:name="_Hlk58178654"/>
      <w:r>
        <w:rPr>
          <w:rFonts w:hint="eastAsia" w:ascii="宋体" w:hAnsi="宋体"/>
          <w:b/>
          <w:sz w:val="24"/>
          <w:szCs w:val="24"/>
        </w:rPr>
        <w:t xml:space="preserve">五、交货地点：</w:t>
      </w:r>
      <w:r>
        <w:rPr>
          <w:rFonts w:hint="eastAsia" w:ascii="宋体" w:hAnsi="宋体"/>
          <w:sz w:val="24"/>
          <w:szCs w:val="24"/>
        </w:rPr>
        <w:t xml:space="preserve">按采购人指定地点（盐城市）。成交方必须按采购人要求将本项目中货物送到指定地点(包括可能的分布范围)，并分地实施安装调试。</w:t>
      </w:r>
      <w:bookmarkEnd w:id="28"/>
      <w:r/>
      <w:r/>
    </w:p>
    <w:p>
      <w:pPr>
        <w:ind w:firstLine="480"/>
        <w:spacing w:line="500" w:lineRule="exact"/>
        <w:rPr>
          <w:rFonts w:ascii="宋体" w:hAnsi="宋体"/>
          <w:b/>
          <w:bCs/>
          <w:sz w:val="24"/>
          <w:szCs w:val="24"/>
        </w:rPr>
      </w:pPr>
      <w:r>
        <w:rPr>
          <w:rFonts w:hint="eastAsia" w:ascii="宋体" w:hAnsi="宋体"/>
          <w:b/>
          <w:bCs/>
          <w:sz w:val="24"/>
          <w:szCs w:val="24"/>
        </w:rPr>
        <w:t xml:space="preserve">六、质量保证</w:t>
      </w:r>
      <w:r/>
    </w:p>
    <w:p>
      <w:pPr>
        <w:ind w:firstLine="480"/>
        <w:spacing w:line="500" w:lineRule="exact"/>
        <w:rPr>
          <w:rFonts w:ascii="宋体" w:hAnsi="宋体"/>
          <w:sz w:val="24"/>
          <w:szCs w:val="24"/>
        </w:rPr>
      </w:pPr>
      <w:r>
        <w:rPr>
          <w:rFonts w:hint="eastAsia" w:ascii="宋体" w:hAnsi="宋体"/>
          <w:sz w:val="24"/>
          <w:szCs w:val="24"/>
        </w:rPr>
        <w:t xml:space="preserve">1、中标供应商保证合同货物是全新的，配件为原装的，完全符合国家有关质量标准和合同规定的质量、规格和性能的要求，并有货物“合格证”或“产品质量保证书”，严禁提供假冒伪劣货物，一经发现，采购人有权解除本合同，且因此而产生的一切费用和责任由中标供应商承担。</w:t>
      </w:r>
      <w:r/>
    </w:p>
    <w:p>
      <w:pPr>
        <w:ind w:firstLine="480"/>
        <w:spacing w:line="500" w:lineRule="exact"/>
        <w:rPr>
          <w:rFonts w:ascii="宋体" w:hAnsi="宋体"/>
          <w:sz w:val="24"/>
          <w:szCs w:val="24"/>
        </w:rPr>
      </w:pPr>
      <w:r>
        <w:rPr>
          <w:rFonts w:hint="eastAsia" w:ascii="宋体" w:hAnsi="宋体"/>
          <w:sz w:val="24"/>
          <w:szCs w:val="24"/>
        </w:rPr>
        <w:t xml:space="preserve">2、 履行中标供应商在其投标文件中的服务承诺。</w:t>
      </w:r>
      <w:r/>
    </w:p>
    <w:p>
      <w:pPr>
        <w:ind w:firstLine="480"/>
        <w:spacing w:line="500" w:lineRule="exact"/>
        <w:rPr>
          <w:rFonts w:ascii="宋体" w:hAnsi="宋体"/>
          <w:sz w:val="24"/>
          <w:szCs w:val="24"/>
        </w:rPr>
      </w:pPr>
      <w:r>
        <w:rPr>
          <w:rFonts w:hint="eastAsia" w:ascii="宋体" w:hAnsi="宋体"/>
          <w:sz w:val="24"/>
          <w:szCs w:val="24"/>
        </w:rPr>
        <w:t xml:space="preserve">3、若货物验收时货物质量不能满足要求，采购人有权要求更换，同时有权提出索赔，所产生的一切费用（含所有检验费用）由中标供应商承担。</w:t>
      </w:r>
      <w:r/>
    </w:p>
    <w:p>
      <w:pPr>
        <w:ind w:firstLine="482"/>
        <w:spacing w:line="500" w:lineRule="exact"/>
        <w:rPr>
          <w:rFonts w:ascii="宋体" w:hAnsi="宋体"/>
          <w:b/>
          <w:sz w:val="24"/>
          <w:szCs w:val="24"/>
        </w:rPr>
      </w:pPr>
      <w:r>
        <w:rPr>
          <w:rFonts w:hint="eastAsia" w:ascii="宋体" w:hAnsi="宋体"/>
          <w:b/>
          <w:sz w:val="24"/>
          <w:szCs w:val="24"/>
        </w:rPr>
        <w:t xml:space="preserve">七、售后服务</w:t>
      </w:r>
      <w:r/>
    </w:p>
    <w:p>
      <w:pPr>
        <w:ind w:firstLine="480"/>
        <w:spacing w:line="500" w:lineRule="exact"/>
        <w:rPr>
          <w:rFonts w:ascii="宋体" w:hAnsi="宋体" w:cs="宋体"/>
          <w:color w:val="000000"/>
          <w:sz w:val="24"/>
          <w:szCs w:val="24"/>
        </w:rPr>
      </w:pPr>
      <w:r>
        <w:rPr>
          <w:rFonts w:hint="eastAsia" w:ascii="宋体" w:hAnsi="宋体"/>
          <w:sz w:val="24"/>
          <w:szCs w:val="24"/>
        </w:rPr>
        <w:t xml:space="preserve">1、供应商报价时须承诺所供货物的免费质保期为五年（自验收报告签字确认日起，开始进入质保期）。</w:t>
      </w:r>
      <w:r/>
    </w:p>
    <w:p>
      <w:pPr>
        <w:ind w:firstLine="482"/>
        <w:spacing w:line="360" w:lineRule="auto"/>
        <w:rPr>
          <w:rFonts w:ascii="宋体" w:hAnsi="宋体" w:cs="宋体"/>
          <w:sz w:val="24"/>
        </w:rPr>
      </w:pPr>
      <w:r>
        <w:rPr>
          <w:rFonts w:hint="eastAsia" w:ascii="宋体" w:hAnsi="宋体"/>
          <w:sz w:val="24"/>
          <w:szCs w:val="24"/>
        </w:rPr>
        <w:t xml:space="preserve">2、</w:t>
      </w:r>
      <w:r>
        <w:rPr>
          <w:rFonts w:hint="eastAsia" w:ascii="宋体" w:hAnsi="宋体" w:cs="宋体"/>
          <w:sz w:val="24"/>
        </w:rPr>
        <w:t xml:space="preserve">供应商接到保修请求，维修应在2小时内响应，4小时内维修人员到达现场，必要时应向采购人提供应急备用设备。质保期后，供应商需保证零配件的供给。</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八、技术服务等要求：</w:t>
      </w:r>
      <w:r/>
    </w:p>
    <w:p>
      <w:pPr>
        <w:ind w:firstLine="480"/>
        <w:spacing w:line="360" w:lineRule="auto"/>
        <w:rPr>
          <w:rFonts w:asciiTheme="minorEastAsia" w:hAnsiTheme="minorEastAsia"/>
          <w:sz w:val="24"/>
        </w:rPr>
      </w:pPr>
      <w:r>
        <w:rPr>
          <w:rFonts w:hint="eastAsia" w:asciiTheme="minorEastAsia" w:hAnsiTheme="minorEastAsia"/>
          <w:sz w:val="24"/>
        </w:rPr>
        <w:t xml:space="preserve">1、所有设备、附（配）件应具备该类产品的功能要求，无瑕疵和缺陷，质量为合格产品。</w:t>
      </w:r>
      <w:r/>
    </w:p>
    <w:p>
      <w:pPr>
        <w:ind w:firstLine="480"/>
        <w:spacing w:line="360" w:lineRule="auto"/>
        <w:rPr>
          <w:rFonts w:asciiTheme="minorEastAsia" w:hAnsiTheme="minorEastAsia"/>
          <w:sz w:val="24"/>
        </w:rPr>
      </w:pPr>
      <w:r>
        <w:rPr>
          <w:rFonts w:hint="eastAsia" w:asciiTheme="minorEastAsia" w:hAnsiTheme="minorEastAsia"/>
          <w:sz w:val="24"/>
        </w:rPr>
        <w:t xml:space="preserve">2、对于出卖的标的物，乙方应当拥有完整物权，并且乙方负有保证第三人不得向甲方主张任何权利（包括知识产权）的义务。</w:t>
      </w:r>
      <w:r/>
    </w:p>
    <w:p>
      <w:pPr>
        <w:pStyle w:val="690"/>
        <w:ind w:firstLine="480"/>
        <w:spacing w:before="0" w:line="500" w:lineRule="exact"/>
      </w:pPr>
      <w:r>
        <w:rPr>
          <w:rFonts w:hint="eastAsia" w:asciiTheme="minorEastAsia" w:hAnsiTheme="minorEastAsia"/>
          <w:b/>
          <w:bCs/>
        </w:rPr>
        <w:t xml:space="preserve">九、项目实施方案</w:t>
      </w:r>
      <w:r>
        <w:rPr>
          <w:rFonts w:hint="eastAsia" w:ascii="宋体" w:hAnsi="宋体" w:cs="宋体"/>
          <w:b/>
          <w:szCs w:val="24"/>
        </w:rPr>
        <w:t xml:space="preserve">、售后服务方案</w:t>
      </w:r>
      <w:r/>
    </w:p>
    <w:p>
      <w:pPr>
        <w:pStyle w:val="690"/>
        <w:ind w:firstLine="480"/>
        <w:spacing w:before="0" w:line="500" w:lineRule="exact"/>
        <w:rPr>
          <w:rFonts w:ascii="宋体" w:hAnsi="宋体" w:cs="宋体"/>
          <w:szCs w:val="24"/>
        </w:rPr>
      </w:pPr>
      <w:r>
        <w:rPr>
          <w:rFonts w:hint="eastAsia" w:ascii="宋体" w:hAnsi="宋体" w:cs="宋体"/>
          <w:szCs w:val="24"/>
        </w:rPr>
        <w:t xml:space="preserve">1、供货实施方案：投标人应根据采购需求和本项目实际，制订相应的供货实施方案至少包含以下内容：</w:t>
      </w:r>
      <w:r/>
    </w:p>
    <w:p>
      <w:pPr>
        <w:pStyle w:val="690"/>
        <w:ind w:firstLine="480"/>
        <w:spacing w:before="0" w:line="500" w:lineRule="exact"/>
        <w:rPr>
          <w:rFonts w:ascii="宋体" w:hAnsi="宋体" w:cs="宋体"/>
        </w:rPr>
      </w:pPr>
      <w:r>
        <w:rPr>
          <w:rFonts w:hint="eastAsia" w:ascii="宋体" w:hAnsi="宋体" w:cs="宋体"/>
        </w:rPr>
        <w:t xml:space="preserve">①供货方案</w:t>
      </w:r>
      <w:r/>
    </w:p>
    <w:p>
      <w:pPr>
        <w:pStyle w:val="690"/>
        <w:ind w:firstLine="480"/>
        <w:spacing w:before="0" w:line="500" w:lineRule="exact"/>
        <w:rPr>
          <w:rFonts w:ascii="宋体" w:hAnsi="宋体" w:cs="宋体"/>
        </w:rPr>
      </w:pPr>
      <w:r>
        <w:rPr>
          <w:rFonts w:hint="eastAsia" w:ascii="宋体" w:hAnsi="宋体" w:cs="宋体"/>
        </w:rPr>
        <w:t xml:space="preserve">在满足招标文件交货时间的基础之上（合同签订后90天内），制定详细的订货、生产和交货周期计划。</w:t>
      </w:r>
      <w:r/>
    </w:p>
    <w:p>
      <w:pPr>
        <w:pStyle w:val="690"/>
        <w:ind w:firstLine="480"/>
        <w:spacing w:before="0" w:line="500" w:lineRule="exact"/>
        <w:rPr>
          <w:rFonts w:ascii="宋体" w:hAnsi="宋体" w:cs="宋体"/>
        </w:rPr>
      </w:pPr>
      <w:r>
        <w:rPr>
          <w:rFonts w:hint="eastAsia" w:ascii="宋体" w:hAnsi="宋体" w:cs="宋体"/>
        </w:rPr>
        <w:t xml:space="preserve">②运输方案</w:t>
      </w:r>
      <w:r/>
    </w:p>
    <w:p>
      <w:pPr>
        <w:pStyle w:val="690"/>
        <w:ind w:firstLine="480"/>
        <w:spacing w:before="0" w:line="500" w:lineRule="exact"/>
        <w:rPr>
          <w:rFonts w:ascii="宋体" w:hAnsi="宋体" w:cs="宋体"/>
        </w:rPr>
      </w:pPr>
      <w:r>
        <w:rPr>
          <w:rFonts w:hint="eastAsia" w:ascii="宋体" w:hAnsi="宋体" w:cs="宋体"/>
        </w:rPr>
        <w:t xml:space="preserve">需结合设备特性（如轻重、尺寸等）与交付地点，制定安全、高效的运输计划。优先选择直达公路运输（如合作具备防潮、防震、防锈和防野蛮装卸能力的物流公司），避免中转导致延误或损坏，以确保货物安全、无损地抵达交货地点。</w:t>
      </w:r>
      <w:r/>
    </w:p>
    <w:p>
      <w:pPr>
        <w:pStyle w:val="690"/>
        <w:ind w:firstLine="480"/>
        <w:spacing w:before="0" w:line="500" w:lineRule="exact"/>
        <w:rPr>
          <w:rFonts w:ascii="宋体" w:hAnsi="宋体" w:cs="宋体"/>
        </w:rPr>
      </w:pPr>
      <w:r>
        <w:rPr>
          <w:rFonts w:hint="eastAsia" w:ascii="宋体" w:hAnsi="宋体" w:cs="宋体"/>
        </w:rPr>
        <w:t xml:space="preserve">③进度保障措施</w:t>
      </w:r>
      <w:r/>
    </w:p>
    <w:p>
      <w:pPr>
        <w:pStyle w:val="690"/>
        <w:ind w:firstLine="480"/>
        <w:spacing w:before="0" w:line="500" w:lineRule="exact"/>
        <w:rPr>
          <w:rFonts w:ascii="宋体" w:hAnsi="宋体" w:cs="宋体"/>
        </w:rPr>
      </w:pPr>
      <w:r>
        <w:rPr>
          <w:rFonts w:hint="eastAsia" w:ascii="宋体" w:hAnsi="宋体" w:cs="宋体"/>
        </w:rPr>
        <w:t xml:space="preserve">投标单位需制定详细的项目实施时间表，进度计划分解到各阶段时间点，明确各阶段工作内容及时间节点。项目整体周期不超过90日，从合同签订之日起计算。</w:t>
      </w:r>
      <w:r/>
    </w:p>
    <w:p>
      <w:pPr>
        <w:pStyle w:val="690"/>
        <w:ind w:firstLine="480"/>
        <w:spacing w:before="0" w:line="500" w:lineRule="exact"/>
        <w:rPr>
          <w:rFonts w:ascii="宋体" w:hAnsi="宋体" w:cs="宋体"/>
        </w:rPr>
      </w:pPr>
      <w:r>
        <w:rPr>
          <w:rFonts w:hint="eastAsia" w:ascii="宋体" w:hAnsi="宋体" w:cs="宋体"/>
        </w:rPr>
        <w:t xml:space="preserve">④验收方案</w:t>
      </w:r>
      <w:r/>
    </w:p>
    <w:p>
      <w:pPr>
        <w:pStyle w:val="690"/>
        <w:ind w:firstLine="480"/>
        <w:spacing w:before="0" w:line="500" w:lineRule="exact"/>
        <w:rPr>
          <w:rFonts w:ascii="宋体" w:hAnsi="宋体" w:cs="宋体"/>
        </w:rPr>
      </w:pPr>
      <w:r>
        <w:rPr>
          <w:rFonts w:hint="eastAsia" w:ascii="宋体" w:hAnsi="宋体" w:cs="宋体"/>
        </w:rPr>
        <w:t xml:space="preserve">协助采购人核对“产品型号、规格、数量、外观”，对不符项立即记录并提出整改方案。</w:t>
      </w:r>
      <w:r/>
    </w:p>
    <w:p>
      <w:pPr>
        <w:pStyle w:val="690"/>
        <w:ind w:firstLine="480"/>
        <w:spacing w:before="0" w:line="500" w:lineRule="exact"/>
        <w:rPr>
          <w:rFonts w:ascii="宋体" w:hAnsi="宋体" w:cs="宋体"/>
        </w:rPr>
      </w:pPr>
      <w:r>
        <w:rPr>
          <w:rFonts w:hint="eastAsia" w:ascii="宋体" w:hAnsi="宋体" w:cs="宋体"/>
        </w:rPr>
        <w:t xml:space="preserve">⑤培训方案</w:t>
      </w:r>
      <w:r/>
    </w:p>
    <w:p>
      <w:pPr>
        <w:pStyle w:val="690"/>
        <w:ind w:firstLine="480"/>
        <w:spacing w:before="0" w:line="500" w:lineRule="exact"/>
        <w:rPr>
          <w:rFonts w:ascii="宋体" w:hAnsi="宋体" w:cs="宋体"/>
        </w:rPr>
      </w:pPr>
      <w:r>
        <w:rPr>
          <w:rFonts w:hint="eastAsia" w:ascii="宋体" w:hAnsi="宋体" w:cs="宋体"/>
        </w:rPr>
        <w:t xml:space="preserve">投标人需制定培训计划，做好培训工作，使甲方能够熟练操作设备，处理简易故障。</w:t>
      </w:r>
      <w:r/>
    </w:p>
    <w:p>
      <w:pPr>
        <w:pStyle w:val="690"/>
        <w:ind w:firstLine="480"/>
        <w:spacing w:before="0" w:line="500" w:lineRule="exact"/>
        <w:rPr>
          <w:rFonts w:ascii="宋体" w:hAnsi="宋体" w:cs="宋体"/>
          <w:szCs w:val="24"/>
        </w:rPr>
      </w:pPr>
      <w:r>
        <w:rPr>
          <w:rFonts w:hint="eastAsia" w:ascii="宋体" w:hAnsi="宋体" w:cs="宋体"/>
          <w:szCs w:val="24"/>
        </w:rPr>
        <w:t xml:space="preserve">2、售后服务：投标人应根据采购需求和本项目实际，制订相应的售后服务方案至少包含以下内容：</w:t>
      </w:r>
      <w:r/>
    </w:p>
    <w:p>
      <w:pPr>
        <w:pStyle w:val="690"/>
        <w:ind w:firstLine="480"/>
        <w:spacing w:before="0" w:line="500" w:lineRule="exact"/>
        <w:rPr>
          <w:rFonts w:ascii="宋体" w:hAnsi="宋体" w:cs="宋体"/>
        </w:rPr>
      </w:pPr>
      <w:r>
        <w:rPr>
          <w:rFonts w:hint="eastAsia" w:ascii="宋体" w:hAnsi="宋体" w:cs="宋体"/>
        </w:rPr>
        <w:t xml:space="preserve">①售后服务体系的建立</w:t>
      </w:r>
      <w:r/>
    </w:p>
    <w:p>
      <w:pPr>
        <w:pStyle w:val="690"/>
        <w:ind w:firstLine="480"/>
        <w:spacing w:before="0" w:line="500" w:lineRule="exact"/>
        <w:rPr>
          <w:rFonts w:ascii="宋体" w:hAnsi="宋体" w:cs="宋体"/>
        </w:rPr>
      </w:pPr>
      <w:r>
        <w:rPr>
          <w:rFonts w:hint="eastAsia" w:ascii="宋体" w:hAnsi="宋体" w:cs="宋体"/>
        </w:rPr>
        <w:t xml:space="preserve">需明确售后服务的组织架构、人员配置及服务渠道，在设备出现故障或问题时，售后服务团队能够迅速行动，提供远程诊断或现场服务，确保采购人能快速对接、高效解决问题。</w:t>
      </w:r>
      <w:r/>
    </w:p>
    <w:p>
      <w:pPr>
        <w:pStyle w:val="690"/>
        <w:ind w:firstLine="480"/>
        <w:spacing w:before="0" w:line="500" w:lineRule="exact"/>
        <w:rPr>
          <w:rFonts w:ascii="宋体" w:hAnsi="宋体" w:cs="宋体"/>
        </w:rPr>
      </w:pPr>
      <w:r>
        <w:rPr>
          <w:rFonts w:hint="eastAsia" w:ascii="宋体" w:hAnsi="宋体" w:cs="宋体"/>
        </w:rPr>
        <w:t xml:space="preserve">②退换货与更换服务</w:t>
      </w:r>
      <w:r/>
    </w:p>
    <w:p>
      <w:pPr>
        <w:pStyle w:val="690"/>
        <w:ind w:firstLine="480"/>
        <w:spacing w:before="0" w:line="500" w:lineRule="exact"/>
        <w:rPr>
          <w:rFonts w:ascii="宋体" w:hAnsi="宋体" w:cs="宋体"/>
        </w:rPr>
      </w:pPr>
      <w:r>
        <w:rPr>
          <w:rFonts w:hint="eastAsia" w:ascii="宋体" w:hAnsi="宋体" w:cs="宋体"/>
        </w:rPr>
        <w:t xml:space="preserve">针对“设备验收不合格”，根据产品质量问题的严重程度，需明确退换货/更换的条件、流程及时效，并承诺赔偿因此造成的损失。</w:t>
      </w:r>
      <w:r/>
    </w:p>
    <w:p>
      <w:pPr>
        <w:pStyle w:val="690"/>
        <w:ind w:firstLine="480"/>
        <w:spacing w:before="0" w:line="500" w:lineRule="exact"/>
        <w:rPr>
          <w:rFonts w:ascii="宋体" w:hAnsi="宋体" w:cs="宋体"/>
        </w:rPr>
      </w:pPr>
      <w:r>
        <w:rPr>
          <w:rFonts w:hint="eastAsia" w:ascii="宋体" w:hAnsi="宋体" w:cs="宋体"/>
        </w:rPr>
        <w:t xml:space="preserve">③响应机制与服务流程</w:t>
      </w:r>
      <w:r/>
    </w:p>
    <w:p>
      <w:pPr>
        <w:pStyle w:val="690"/>
        <w:ind w:firstLine="480"/>
        <w:spacing w:before="0" w:line="500" w:lineRule="exact"/>
        <w:rPr>
          <w:rFonts w:ascii="宋体" w:hAnsi="宋体" w:cs="宋体"/>
        </w:rPr>
      </w:pPr>
      <w:r>
        <w:rPr>
          <w:rFonts w:hint="eastAsia" w:ascii="宋体" w:hAnsi="宋体" w:cs="宋体"/>
        </w:rPr>
        <w:t xml:space="preserve">需建立“分级响应”机制，针对不同紧急程度的问题制定差异化处理时效，确保符合招标文件要求。</w:t>
      </w:r>
      <w:r/>
    </w:p>
    <w:p>
      <w:pPr>
        <w:pStyle w:val="690"/>
        <w:ind w:firstLine="480"/>
        <w:spacing w:before="0" w:line="500" w:lineRule="exact"/>
        <w:rPr>
          <w:rFonts w:ascii="宋体" w:hAnsi="宋体" w:cs="宋体"/>
        </w:rPr>
      </w:pPr>
      <w:r>
        <w:rPr>
          <w:rFonts w:hint="eastAsia" w:ascii="宋体" w:hAnsi="宋体" w:cs="宋体"/>
        </w:rPr>
        <w:t xml:space="preserve">④保障承诺</w:t>
      </w:r>
      <w:r/>
    </w:p>
    <w:p>
      <w:pPr>
        <w:pStyle w:val="690"/>
        <w:ind w:firstLine="480"/>
        <w:spacing w:before="0" w:line="500" w:lineRule="exact"/>
        <w:rPr>
          <w:rFonts w:ascii="宋体" w:hAnsi="宋体" w:cs="宋体"/>
        </w:rPr>
      </w:pPr>
      <w:r>
        <w:rPr>
          <w:rFonts w:hint="eastAsia" w:ascii="宋体" w:hAnsi="宋体" w:cs="宋体"/>
        </w:rPr>
        <w:t xml:space="preserve">需明确“质保期服务”“正品保障”“损失赔偿”等承诺，严格遵循招标文件“</w:t>
      </w:r>
      <w:r>
        <w:rPr>
          <w:rFonts w:hint="eastAsia" w:ascii="宋体" w:hAnsi="宋体" w:cs="宋体"/>
          <w:color w:val="000000"/>
          <w:szCs w:val="24"/>
        </w:rPr>
        <w:t xml:space="preserve">质保期：5年”</w:t>
      </w:r>
      <w:r>
        <w:rPr>
          <w:rFonts w:hint="eastAsia" w:ascii="宋体" w:hAnsi="宋体" w:cs="宋体"/>
        </w:rPr>
        <w:t xml:space="preserve">等条款。</w:t>
      </w:r>
      <w:r/>
    </w:p>
    <w:p>
      <w:pPr>
        <w:pStyle w:val="690"/>
        <w:ind w:firstLine="480"/>
        <w:spacing w:before="0" w:line="500" w:lineRule="exact"/>
        <w:rPr>
          <w:rFonts w:ascii="宋体" w:hAnsi="宋体" w:cs="宋体"/>
        </w:rPr>
      </w:pPr>
      <w:r>
        <w:rPr>
          <w:rFonts w:hint="eastAsia" w:ascii="宋体" w:hAnsi="宋体" w:cs="宋体"/>
        </w:rPr>
        <w:t xml:space="preserve">⑤备件承诺</w:t>
      </w:r>
      <w:r/>
    </w:p>
    <w:p>
      <w:pPr>
        <w:pStyle w:val="690"/>
        <w:ind w:firstLine="480"/>
        <w:spacing w:before="0" w:line="500" w:lineRule="exact"/>
        <w:rPr>
          <w:rFonts w:ascii="宋体" w:hAnsi="宋体" w:cs="宋体"/>
        </w:rPr>
      </w:pPr>
      <w:r>
        <w:rPr>
          <w:rFonts w:hint="eastAsia" w:ascii="宋体" w:hAnsi="宋体" w:cs="宋体"/>
        </w:rPr>
        <w:t xml:space="preserve">为保证设备正常使用，故障设备及时有效维修，备品备件及耗材提供期限不少于1</w:t>
      </w:r>
      <w:r>
        <w:rPr>
          <w:rFonts w:ascii="宋体" w:hAnsi="宋体" w:cs="宋体"/>
        </w:rPr>
        <w:t xml:space="preserve">0</w:t>
      </w:r>
      <w:r>
        <w:rPr>
          <w:rFonts w:hint="eastAsia" w:ascii="宋体" w:hAnsi="宋体" w:cs="宋体"/>
        </w:rPr>
        <w:t xml:space="preserve">年。</w:t>
      </w:r>
      <w:r/>
    </w:p>
    <w:p>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十、业绩</w:t>
      </w:r>
      <w:r/>
    </w:p>
    <w:p>
      <w:pPr>
        <w:ind w:firstLine="480"/>
        <w:spacing w:line="360" w:lineRule="auto"/>
        <w:rPr>
          <w:rFonts w:asciiTheme="minorEastAsia" w:hAnsiTheme="minorEastAsia"/>
          <w:sz w:val="24"/>
        </w:rPr>
      </w:pPr>
      <w:r>
        <w:rPr>
          <w:rFonts w:asciiTheme="minorEastAsia" w:hAnsiTheme="minorEastAsia"/>
          <w:sz w:val="24"/>
        </w:rPr>
        <w:t xml:space="preserve">投标单位</w:t>
      </w:r>
      <w:r>
        <w:rPr>
          <w:rFonts w:hint="eastAsia" w:asciiTheme="minorEastAsia" w:hAnsiTheme="minorEastAsia"/>
          <w:sz w:val="24"/>
        </w:rPr>
        <w:t xml:space="preserve">需具备丰富的所投设备的承接经验，确保本项目的顺利实施，</w:t>
      </w:r>
      <w:r>
        <w:rPr>
          <w:rFonts w:asciiTheme="minorEastAsia" w:hAnsiTheme="minorEastAsia"/>
          <w:sz w:val="24"/>
        </w:rPr>
        <w:t xml:space="preserve">投标单位</w:t>
      </w:r>
      <w:r>
        <w:rPr>
          <w:rFonts w:hint="eastAsia" w:asciiTheme="minorEastAsia" w:hAnsiTheme="minorEastAsia"/>
          <w:sz w:val="24"/>
        </w:rPr>
        <w:t xml:space="preserve">自</w:t>
      </w:r>
      <w:r>
        <w:rPr>
          <w:rFonts w:asciiTheme="minorEastAsia" w:hAnsiTheme="minorEastAsia"/>
          <w:sz w:val="24"/>
        </w:rPr>
        <w:t xml:space="preserve">202</w:t>
      </w:r>
      <w:r>
        <w:rPr>
          <w:rFonts w:hint="eastAsia" w:asciiTheme="minorEastAsia" w:hAnsiTheme="minorEastAsia"/>
          <w:sz w:val="24"/>
        </w:rPr>
        <w:t xml:space="preserve">1</w:t>
      </w:r>
      <w:r>
        <w:rPr>
          <w:rFonts w:asciiTheme="minorEastAsia" w:hAnsiTheme="minorEastAsia"/>
          <w:sz w:val="24"/>
        </w:rPr>
        <w:t xml:space="preserve">年1月1日以后</w:t>
      </w:r>
      <w:r>
        <w:rPr>
          <w:rFonts w:hint="eastAsia" w:asciiTheme="minorEastAsia" w:hAnsiTheme="minorEastAsia"/>
          <w:sz w:val="24"/>
        </w:rPr>
        <w:t xml:space="preserve">承接过</w:t>
      </w:r>
      <w:r>
        <w:rPr>
          <w:rFonts w:asciiTheme="minorEastAsia" w:hAnsiTheme="minorEastAsia"/>
          <w:sz w:val="24"/>
        </w:rPr>
        <w:t xml:space="preserve">类似项目业绩</w:t>
      </w:r>
      <w:r>
        <w:rPr>
          <w:rFonts w:hint="eastAsia" w:asciiTheme="minorEastAsia" w:hAnsiTheme="minorEastAsia"/>
          <w:sz w:val="24"/>
        </w:rPr>
        <w:t xml:space="preserve">的优先</w:t>
      </w:r>
      <w:r>
        <w:rPr>
          <w:rFonts w:asciiTheme="minorEastAsia" w:hAnsiTheme="minorEastAsia"/>
          <w:sz w:val="24"/>
        </w:rPr>
        <w:t xml:space="preserve">。</w:t>
      </w:r>
      <w:r/>
    </w:p>
    <w:p>
      <w:pPr>
        <w:ind w:firstLine="482"/>
        <w:spacing w:line="360" w:lineRule="auto"/>
        <w:rPr>
          <w:rFonts w:asciiTheme="minorEastAsia" w:hAnsiTheme="minorEastAsia"/>
          <w:b/>
          <w:bCs/>
          <w:sz w:val="24"/>
        </w:rPr>
      </w:pPr>
      <w:r>
        <w:rPr>
          <w:rFonts w:hint="eastAsia" w:asciiTheme="minorEastAsia" w:hAnsiTheme="minorEastAsia"/>
          <w:b/>
          <w:bCs/>
          <w:sz w:val="24"/>
        </w:rPr>
        <w:t xml:space="preserve">十一、采购标的对应的中小企业划分标准所属行业一览表</w:t>
      </w:r>
      <w:r/>
    </w:p>
    <w:tbl>
      <w:tblPr>
        <w:tblStyle w:val="685"/>
        <w:tblW w:w="749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2"/>
        <w:gridCol w:w="3773"/>
        <w:gridCol w:w="2852"/>
      </w:tblGrid>
      <w:tr>
        <w:trPr>
          <w:jc w:val="center"/>
          <w:tblCellSpacing w:w="0" w:type="dxa"/>
        </w:trPr>
        <w:tc>
          <w:tcPr>
            <w:tcW w:w="872" w:type="dxa"/>
            <w:vAlign w:val="center"/>
            <w:textDirection w:val="lrTb"/>
            <w:noWrap w:val="false"/>
          </w:tcPr>
          <w:p>
            <w:pPr>
              <w:pStyle w:val="714"/>
              <w:jc w:val="center"/>
              <w:rPr>
                <w:rFonts w:ascii="宋体" w:hAnsi="宋体" w:eastAsia="宋体" w:cs="宋体"/>
              </w:rPr>
            </w:pPr>
            <w:r>
              <w:rPr>
                <w:rFonts w:hint="eastAsia" w:ascii="宋体" w:hAnsi="宋体" w:eastAsia="宋体" w:cs="宋体"/>
              </w:rPr>
              <w:t xml:space="preserve">序号</w:t>
            </w:r>
            <w:r/>
          </w:p>
        </w:tc>
        <w:tc>
          <w:tcPr>
            <w:tcW w:w="3773" w:type="dxa"/>
            <w:vAlign w:val="center"/>
            <w:textDirection w:val="lrTb"/>
            <w:noWrap w:val="false"/>
          </w:tcPr>
          <w:p>
            <w:pPr>
              <w:pStyle w:val="714"/>
              <w:jc w:val="center"/>
              <w:rPr>
                <w:rFonts w:ascii="宋体" w:hAnsi="宋体" w:eastAsia="宋体" w:cs="宋体"/>
              </w:rPr>
            </w:pPr>
            <w:r>
              <w:rPr>
                <w:rFonts w:hint="eastAsia" w:ascii="宋体" w:hAnsi="宋体" w:eastAsia="宋体" w:cs="宋体"/>
              </w:rPr>
              <w:t xml:space="preserve">采购标的</w:t>
            </w:r>
            <w:r/>
          </w:p>
        </w:tc>
        <w:tc>
          <w:tcPr>
            <w:tcW w:w="2852" w:type="dxa"/>
            <w:vAlign w:val="center"/>
            <w:textDirection w:val="lrTb"/>
            <w:noWrap w:val="false"/>
          </w:tcPr>
          <w:p>
            <w:pPr>
              <w:pStyle w:val="714"/>
              <w:jc w:val="center"/>
              <w:rPr>
                <w:rFonts w:ascii="宋体" w:hAnsi="宋体" w:eastAsia="宋体" w:cs="宋体"/>
              </w:rPr>
            </w:pPr>
            <w:r>
              <w:rPr>
                <w:rFonts w:hint="eastAsia" w:ascii="宋体" w:hAnsi="宋体" w:eastAsia="宋体" w:cs="宋体"/>
              </w:rPr>
              <w:t xml:space="preserve">对应中小企业划分标准所属行业</w:t>
            </w:r>
            <w:r/>
          </w:p>
        </w:tc>
      </w:tr>
      <w:tr>
        <w:trPr>
          <w:jc w:val="center"/>
          <w:tblCellSpacing w:w="0" w:type="dxa"/>
          <w:trHeight w:val="291"/>
        </w:trPr>
        <w:tc>
          <w:tcPr>
            <w:tcW w:w="872" w:type="dxa"/>
            <w:vAlign w:val="center"/>
            <w:textDirection w:val="lrTb"/>
            <w:noWrap w:val="false"/>
          </w:tcPr>
          <w:p>
            <w:pPr>
              <w:pStyle w:val="714"/>
              <w:jc w:val="center"/>
              <w:rPr>
                <w:rFonts w:ascii="宋体" w:hAnsi="宋体" w:eastAsia="宋体" w:cs="宋体"/>
              </w:rPr>
            </w:pPr>
            <w:r>
              <w:rPr>
                <w:rFonts w:hint="eastAsia" w:ascii="宋体" w:hAnsi="宋体" w:eastAsia="宋体" w:cs="宋体"/>
              </w:rPr>
              <w:t xml:space="preserve">1</w:t>
            </w:r>
            <w:r/>
          </w:p>
        </w:tc>
        <w:tc>
          <w:tcPr>
            <w:tcW w:w="3773" w:type="dxa"/>
            <w:vAlign w:val="center"/>
            <w:textDirection w:val="lrTb"/>
            <w:noWrap w:val="false"/>
          </w:tcPr>
          <w:p>
            <w:pPr>
              <w:pStyle w:val="714"/>
              <w:ind w:firstLine="161"/>
              <w:jc w:val="center"/>
              <w:spacing w:line="360" w:lineRule="auto"/>
              <w:rPr>
                <w:rFonts w:ascii="宋体" w:hAnsi="宋体" w:eastAsia="宋体" w:cs="宋体"/>
              </w:rPr>
            </w:pPr>
            <w:r>
              <w:rPr>
                <w:rFonts w:hint="eastAsia" w:ascii="宋体" w:hAnsi="宋体" w:eastAsia="宋体" w:cs="宋体"/>
              </w:rPr>
              <w:t xml:space="preserve">2025年人防警报设施采购项目</w:t>
            </w:r>
            <w:r/>
          </w:p>
        </w:tc>
        <w:tc>
          <w:tcPr>
            <w:tcW w:w="2852" w:type="dxa"/>
            <w:vAlign w:val="center"/>
            <w:textDirection w:val="lrTb"/>
            <w:noWrap w:val="false"/>
          </w:tcPr>
          <w:p>
            <w:pPr>
              <w:pStyle w:val="714"/>
              <w:jc w:val="center"/>
              <w:rPr>
                <w:rFonts w:ascii="宋体" w:hAnsi="宋体" w:eastAsia="宋体" w:cs="宋体"/>
              </w:rPr>
            </w:pPr>
            <w:r>
              <w:rPr>
                <w:rFonts w:hint="eastAsia" w:cs="Courier New"/>
                <w:b/>
                <w:bCs/>
              </w:rPr>
              <w:t xml:space="preserve">工业</w:t>
            </w:r>
            <w:r/>
          </w:p>
        </w:tc>
      </w:tr>
    </w:tbl>
    <w:p>
      <w:pPr>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bookmarkStart w:id="29" w:name="_Toc207118526"/>
      <w:r/>
      <w:r/>
    </w:p>
    <w:p>
      <w:pPr>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t xml:space="preserve">第五章</w:t>
      </w:r>
      <w:r>
        <w:rPr>
          <w:rFonts w:hint="eastAsia" w:ascii="宋体" w:hAnsi="宋体" w:eastAsia="宋体" w:cs="宋体"/>
          <w:color w:val="000000"/>
          <w:sz w:val="44"/>
        </w:rPr>
        <w:t xml:space="preserve"> </w:t>
      </w:r>
      <w:r>
        <w:rPr>
          <w:rFonts w:ascii="宋体" w:hAnsi="宋体" w:eastAsia="宋体" w:cs="宋体"/>
          <w:color w:val="000000"/>
          <w:sz w:val="44"/>
        </w:rPr>
        <w:t xml:space="preserve">评标方法与评标标准</w:t>
      </w:r>
      <w:bookmarkEnd w:id="29"/>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bookmarkStart w:id="30" w:name="OLE_LINK3"/>
      <w:r/>
      <w:bookmarkStart w:id="31" w:name="OLE_LINK2"/>
      <w:r>
        <w:rPr>
          <w:rFonts w:hint="eastAsia" w:ascii="宋体" w:hAnsi="宋体" w:eastAsia="宋体" w:cs="宋体"/>
          <w:color w:val="000000"/>
          <w:sz w:val="24"/>
        </w:rPr>
        <w:t xml:space="preserve">一、定标原则</w:t>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本项目采用</w:t>
      </w:r>
      <w:r>
        <w:rPr>
          <w:rFonts w:hint="eastAsia" w:ascii="宋体" w:hAnsi="宋体" w:eastAsia="宋体" w:cs="宋体"/>
          <w:color w:val="000000"/>
          <w:sz w:val="24"/>
          <w:u w:val="single"/>
        </w:rPr>
        <w:t xml:space="preserve"> 综合评分 </w:t>
      </w:r>
      <w:r>
        <w:rPr>
          <w:rFonts w:hint="eastAsia" w:ascii="宋体" w:hAnsi="宋体" w:eastAsia="宋体" w:cs="宋体"/>
          <w:color w:val="000000"/>
          <w:sz w:val="24"/>
        </w:rPr>
        <w:t xml:space="preserve">法。评标结果按评审后得分由高到低顺序排列。得分相同的，按投标报价由低到高顺序排列。</w:t>
      </w:r>
      <w:r>
        <w:rPr>
          <w:rFonts w:hint="eastAsia" w:ascii="宋体" w:hAnsi="宋体" w:cs="宋体"/>
          <w:sz w:val="24"/>
          <w:szCs w:val="24"/>
        </w:rPr>
        <w:t xml:space="preserve">得分、投标报价均相同时，技术响应分得分高的优先，评分、报价、技术响应得分均相同时，</w:t>
      </w:r>
      <w:r>
        <w:rPr>
          <w:rFonts w:hint="eastAsia" w:ascii="宋体" w:hAnsi="宋体" w:eastAsia="宋体" w:cs="宋体"/>
          <w:color w:val="000000"/>
          <w:sz w:val="24"/>
        </w:rPr>
        <w:t xml:space="preserve">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政府采购政策功能落实</w:t>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1、小微型企业价格扣除</w:t>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w:t>
      </w:r>
      <w:r>
        <w:rPr>
          <w:rFonts w:hint="eastAsia" w:ascii="宋体" w:hAnsi="宋体" w:eastAsia="宋体" w:cs="宋体"/>
          <w:sz w:val="24"/>
          <w:szCs w:val="24"/>
        </w:rPr>
        <w:t xml:space="preserve">本项目专门面向中小企业采购，不再对小型和微型企业服务给予价格扣除</w:t>
      </w:r>
      <w:r>
        <w:rPr>
          <w:rFonts w:hint="eastAsia" w:ascii="宋体" w:hAnsi="宋体" w:eastAsia="宋体" w:cs="宋体"/>
          <w:color w:val="000000"/>
          <w:sz w:val="24"/>
        </w:rPr>
        <w:t xml:space="preserve">。</w:t>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（2）供应商需按照采购文件的要求提供相应的《中小企业声明函》。</w:t>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（3）企业标准请参照《关于印发中小企业划型标准规定的通知》（工信部联企业[2011]300号）文件规定自行填写。</w:t>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2、残疾人福利单位价格扣除</w:t>
      </w:r>
      <w:r/>
    </w:p>
    <w:p>
      <w:pPr>
        <w:ind w:firstLine="981"/>
        <w:spacing w:line="540" w:lineRule="exact"/>
        <w:widowControl w:val="off"/>
        <w:rPr>
          <w:sz w:val="24"/>
        </w:rPr>
      </w:pPr>
      <w:r>
        <w:rPr>
          <w:rFonts w:hint="eastAsia" w:ascii="宋体" w:hAnsi="宋体" w:eastAsia="宋体" w:cs="宋体"/>
          <w:color w:val="000000"/>
          <w:sz w:val="24"/>
        </w:rPr>
        <w:t xml:space="preserve">（1）</w:t>
      </w:r>
      <w:r>
        <w:rPr>
          <w:sz w:val="24"/>
        </w:rPr>
        <w:t xml:space="preserve">本项目对监狱和戒毒企业（简称监狱企业）视同小型、微型企业。</w:t>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（2）残疾人福利单位需按照采购文件的要求提供《残疾人福利性单位声明函》。</w:t>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（3）残疾人福利单位标准请参照《关于促进残疾人就业政府采购政策的通知》（财库〔2017〕141号）。</w:t>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3、监狱和戒毒企业</w:t>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（1）本项目对监狱和戒毒企业（简称监狱企业）视同小型、微型企业。</w:t>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w:t>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（3）监狱企业标准请参照《关于政府采购支持监狱企业发展有关问题的通知》（财库[2014]68号）。</w:t>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4、残疾人福利单位、监狱企业属于小型、微型企业的，不重复享受政策。</w:t>
      </w:r>
      <w:r/>
    </w:p>
    <w:p>
      <w:pPr>
        <w:ind w:left="482" w:firstLine="480"/>
        <w:jc w:val="both"/>
        <w:spacing w:line="5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5、严格执行政府采购关于支持</w:t>
      </w:r>
      <w:r>
        <w:rPr>
          <w:rFonts w:hint="eastAsia"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End w:id="30"/>
      <w:r/>
      <w:bookmarkEnd w:id="31"/>
      <w:r/>
      <w:r/>
    </w:p>
    <w:p>
      <w:pPr>
        <w:ind w:left="480"/>
        <w:jc w:val="both"/>
        <w:spacing w:line="6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二、评标标准</w:t>
      </w:r>
      <w:r/>
    </w:p>
    <w:tbl>
      <w:tblPr>
        <w:tblStyle w:val="685"/>
        <w:tblpPr w:horzAnchor="page" w:tblpX="1218" w:vertAnchor="text" w:tblpY="293" w:leftFromText="180" w:topFromText="0" w:rightFromText="180" w:bottomFromText="0"/>
        <w:tblW w:w="9510" w:type="dxa"/>
        <w:tblInd w:w="0" w:type="dxa"/>
        <w:tblLayout w:type="autofit"/>
        <w:tblCellMar>
          <w:left w:w="108" w:type="dxa"/>
          <w:top w:w="0" w:type="dxa"/>
          <w:right w:w="108" w:type="dxa"/>
          <w:bottom w:w="0" w:type="dxa"/>
        </w:tblCellMar>
        <w:tblLook w:val="04A0" w:firstRow="1" w:lastRow="0" w:firstColumn="1" w:lastColumn="0" w:noHBand="0" w:noVBand="1"/>
      </w:tblPr>
      <w:tblGrid>
        <w:gridCol w:w="863"/>
        <w:gridCol w:w="1276"/>
        <w:gridCol w:w="6237"/>
        <w:gridCol w:w="1134"/>
      </w:tblGrid>
      <w:tr>
        <w:trPr>
          <w:trHeight w:val="590"/>
        </w:trPr>
        <w:tc>
          <w:tcPr>
            <w:tcBorders>
              <w:top w:val="single" w:color="auto" w:sz="8" w:space="0"/>
              <w:left w:val="single" w:color="auto" w:sz="8" w:space="0"/>
              <w:bottom w:val="single" w:color="auto" w:sz="4" w:space="0"/>
              <w:right w:val="single" w:color="auto" w:sz="4" w:space="0"/>
            </w:tcBorders>
            <w:tcW w:w="863" w:type="dxa"/>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Borders>
              <w:top w:val="single" w:color="auto" w:sz="8" w:space="0"/>
              <w:left w:val="none" w:color="000000" w:sz="4" w:space="0"/>
              <w:bottom w:val="single" w:color="auto" w:sz="4" w:space="0"/>
              <w:right w:val="single" w:color="auto" w:sz="4" w:space="0"/>
            </w:tcBorders>
            <w:tcW w:w="1276" w:type="dxa"/>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评审因素</w:t>
            </w:r>
            <w:r/>
          </w:p>
        </w:tc>
        <w:tc>
          <w:tcPr>
            <w:tcBorders>
              <w:top w:val="single" w:color="auto" w:sz="8" w:space="0"/>
              <w:left w:val="none" w:color="000000" w:sz="4" w:space="0"/>
              <w:bottom w:val="single" w:color="auto" w:sz="4" w:space="0"/>
              <w:right w:val="single" w:color="auto" w:sz="4" w:space="0"/>
            </w:tcBorders>
            <w:tcW w:w="6237" w:type="dxa"/>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评 审 细 则</w:t>
            </w:r>
            <w:r/>
          </w:p>
        </w:tc>
        <w:tc>
          <w:tcPr>
            <w:tcBorders>
              <w:top w:val="single" w:color="auto" w:sz="8" w:space="0"/>
              <w:left w:val="none" w:color="000000" w:sz="4" w:space="0"/>
              <w:bottom w:val="single" w:color="auto" w:sz="4" w:space="0"/>
              <w:right w:val="single" w:color="auto" w:sz="8" w:space="0"/>
            </w:tcBorders>
            <w:tcW w:w="1134" w:type="dxa"/>
            <w:textDirection w:val="lrTb"/>
            <w:noWrap w:val="false"/>
          </w:tcPr>
          <w:p>
            <w:pPr>
              <w:jc w:val="center"/>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r>
      <w:tr>
        <w:trPr>
          <w:trHeight w:val="1560"/>
        </w:trPr>
        <w:tc>
          <w:tcPr>
            <w:tcBorders>
              <w:top w:val="none" w:color="000000" w:sz="4" w:space="0"/>
              <w:left w:val="single" w:color="auto" w:sz="8" w:space="0"/>
              <w:bottom w:val="single" w:color="auto" w:sz="4" w:space="0"/>
              <w:right w:val="single" w:color="auto" w:sz="4" w:space="0"/>
            </w:tcBorders>
            <w:tcW w:w="86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价格分部分</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采用低价优先法计算，即满足招标文件要求且投标价格最低的投标报价为评标基准价，其价格分为满分。其他投标人的价格分统一按照下列公式计算：投标报价得分=(评标基准价/投标报价)×40（小数点保留两位）</w:t>
            </w:r>
            <w:r/>
          </w:p>
        </w:tc>
        <w:tc>
          <w:tcPr>
            <w:tcBorders>
              <w:top w:val="none" w:color="000000" w:sz="4" w:space="0"/>
              <w:left w:val="none" w:color="000000" w:sz="4" w:space="0"/>
              <w:bottom w:val="single" w:color="auto" w:sz="4" w:space="0"/>
              <w:right w:val="single" w:color="auto" w:sz="8" w:space="0"/>
            </w:tcBorders>
            <w:tcW w:w="1134"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40</w:t>
            </w:r>
            <w:r/>
          </w:p>
        </w:tc>
      </w:tr>
      <w:tr>
        <w:trPr>
          <w:trHeight w:val="1560"/>
        </w:trPr>
        <w:tc>
          <w:tcPr>
            <w:tcBorders>
              <w:top w:val="none" w:color="000000" w:sz="4" w:space="0"/>
              <w:left w:val="single" w:color="auto" w:sz="8" w:space="0"/>
              <w:bottom w:val="single" w:color="auto" w:sz="4" w:space="0"/>
              <w:right w:val="single" w:color="auto" w:sz="4" w:space="0"/>
            </w:tcBorders>
            <w:tcW w:w="86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rPr>
                <w:rFonts w:ascii="宋体" w:hAnsi="宋体" w:eastAsia="宋体" w:cs="宋体"/>
                <w:sz w:val="24"/>
                <w:szCs w:val="24"/>
              </w:rPr>
            </w:pPr>
            <w:r>
              <w:rPr>
                <w:rFonts w:hint="eastAsia" w:ascii="宋体" w:hAnsi="宋体" w:eastAsia="宋体" w:cs="宋体"/>
                <w:sz w:val="24"/>
                <w:szCs w:val="24"/>
              </w:rPr>
              <w:t xml:space="preserve">产品技术参数响应情况</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根据各投标人所投产品对招标文件第四章第一条“功能及参数说明”的响应情况进行评分，不符合要求或者未按文件要求提供证明材料视作负偏离，有一项负偏离扣3分（合计8项），满分</w:t>
            </w:r>
            <w:r>
              <w:rPr>
                <w:rFonts w:ascii="宋体" w:hAnsi="宋体" w:cs="宋体"/>
                <w:sz w:val="24"/>
                <w:szCs w:val="24"/>
              </w:rPr>
              <w:t xml:space="preserve">24</w:t>
            </w:r>
            <w:r>
              <w:rPr>
                <w:rFonts w:hint="eastAsia" w:ascii="宋体" w:hAnsi="宋体" w:cs="宋体"/>
                <w:sz w:val="24"/>
                <w:szCs w:val="24"/>
              </w:rPr>
              <w:t xml:space="preserve">分扣完为止。</w:t>
            </w:r>
            <w:r/>
          </w:p>
          <w:p>
            <w:pPr>
              <w:jc w:val="both"/>
              <w:rPr>
                <w:rFonts w:ascii="宋体" w:hAnsi="宋体" w:cs="宋体"/>
                <w:sz w:val="24"/>
                <w:szCs w:val="24"/>
              </w:rPr>
            </w:pPr>
            <w:r>
              <w:rPr>
                <w:rFonts w:hint="eastAsia" w:ascii="宋体" w:hAnsi="宋体" w:cs="宋体"/>
                <w:sz w:val="24"/>
                <w:szCs w:val="24"/>
              </w:rPr>
              <w:t xml:space="preserve">注：1、“功能及参数说明”中明确要求提供证明材料的以证明材料加盖投标人公章为准，未作要求的以投标人提供的《技术参数响应及偏离表》为准；</w:t>
            </w:r>
            <w:r/>
          </w:p>
          <w:p>
            <w:pPr>
              <w:jc w:val="both"/>
              <w:rPr>
                <w:rFonts w:ascii="宋体" w:hAnsi="宋体" w:eastAsia="宋体" w:cs="宋体"/>
                <w:sz w:val="24"/>
                <w:szCs w:val="24"/>
              </w:rPr>
            </w:pPr>
            <w:r>
              <w:rPr>
                <w:rFonts w:hint="eastAsia" w:ascii="宋体" w:hAnsi="宋体" w:cs="宋体"/>
                <w:sz w:val="24"/>
                <w:szCs w:val="24"/>
              </w:rPr>
              <w:t xml:space="preserve">2、对通过提供虚假材料谋取中标的，货到验收技术参数与投标文件不符时，采购方可以拒收货、拒付款，并且供货方必须承担相应的法律责任。</w:t>
            </w:r>
            <w:r/>
          </w:p>
        </w:tc>
        <w:tc>
          <w:tcPr>
            <w:tcBorders>
              <w:top w:val="none" w:color="000000" w:sz="4" w:space="0"/>
              <w:left w:val="none" w:color="000000" w:sz="4" w:space="0"/>
              <w:bottom w:val="single" w:color="auto" w:sz="4" w:space="0"/>
              <w:right w:val="single" w:color="auto" w:sz="8" w:space="0"/>
            </w:tcBorders>
            <w:tcW w:w="113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24</w:t>
            </w:r>
            <w:r/>
          </w:p>
        </w:tc>
      </w:tr>
      <w:tr>
        <w:trPr>
          <w:trHeight w:val="2184"/>
        </w:trPr>
        <w:tc>
          <w:tcPr>
            <w:tcBorders>
              <w:top w:val="none" w:color="000000" w:sz="4" w:space="0"/>
              <w:left w:val="single" w:color="auto" w:sz="8" w:space="0"/>
              <w:bottom w:val="single" w:color="auto" w:sz="4" w:space="0"/>
              <w:right w:val="single" w:color="auto" w:sz="4" w:space="0"/>
            </w:tcBorders>
            <w:tcW w:w="86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rPr>
                <w:rFonts w:ascii="宋体" w:hAnsi="宋体" w:eastAsia="宋体" w:cs="宋体"/>
                <w:sz w:val="24"/>
                <w:szCs w:val="24"/>
              </w:rPr>
            </w:pPr>
            <w:r>
              <w:rPr>
                <w:rFonts w:hint="eastAsia" w:ascii="宋体" w:hAnsi="宋体" w:cs="宋体"/>
                <w:sz w:val="24"/>
              </w:rPr>
              <w:t xml:space="preserve">供货实施方案</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jc w:val="both"/>
              <w:rPr>
                <w:rFonts w:ascii="宋体" w:hAnsi="宋体" w:eastAsia="宋体" w:cs="宋体"/>
                <w:sz w:val="24"/>
                <w:szCs w:val="24"/>
              </w:rPr>
            </w:pPr>
            <w:r>
              <w:rPr>
                <w:rFonts w:hint="eastAsia" w:ascii="宋体" w:hAnsi="宋体" w:eastAsia="宋体" w:cs="宋体"/>
                <w:sz w:val="24"/>
                <w:szCs w:val="24"/>
              </w:rPr>
              <w:t xml:space="preserve">供应商根据第四章中“1、供货实施方案”要求，提供详细完整的</w:t>
            </w:r>
            <w:r>
              <w:rPr>
                <w:rFonts w:hint="eastAsia" w:ascii="宋体" w:hAnsi="宋体" w:cs="宋体"/>
                <w:sz w:val="24"/>
              </w:rPr>
              <w:t xml:space="preserve">供货实施方案，</w:t>
            </w:r>
            <w:r>
              <w:rPr>
                <w:rFonts w:hint="eastAsia" w:ascii="宋体" w:hAnsi="宋体" w:eastAsia="宋体" w:cs="宋体"/>
                <w:sz w:val="24"/>
                <w:szCs w:val="24"/>
              </w:rPr>
              <w:t xml:space="preserve">（至少包含：①供货方案；②运输方案；③进度保障措施；④验收方案；⑤培训方案。</w:t>
            </w:r>
            <w:r/>
          </w:p>
          <w:p>
            <w:pPr>
              <w:jc w:val="both"/>
              <w:rPr>
                <w:rFonts w:ascii="宋体" w:hAnsi="宋体" w:eastAsia="宋体" w:cs="宋体"/>
                <w:sz w:val="24"/>
                <w:szCs w:val="24"/>
              </w:rPr>
            </w:pPr>
            <w:r>
              <w:rPr>
                <w:rFonts w:hint="eastAsia" w:ascii="宋体" w:hAnsi="宋体" w:cs="宋体"/>
                <w:sz w:val="24"/>
              </w:rPr>
              <w:t xml:space="preserve">方案内容满足以上全部要求且符合本项目实际需求的，得</w:t>
            </w:r>
            <w:r>
              <w:rPr>
                <w:rFonts w:ascii="宋体" w:hAnsi="宋体" w:cs="宋体"/>
                <w:sz w:val="24"/>
              </w:rPr>
              <w:t xml:space="preserve">10</w:t>
            </w:r>
            <w:r>
              <w:rPr>
                <w:rFonts w:hint="eastAsia" w:ascii="宋体" w:hAnsi="宋体" w:cs="宋体"/>
                <w:sz w:val="24"/>
              </w:rPr>
              <w:t xml:space="preserve">分，每有一项内容缺失的扣</w:t>
            </w:r>
            <w:r>
              <w:rPr>
                <w:rFonts w:ascii="宋体" w:hAnsi="宋体" w:cs="宋体"/>
                <w:sz w:val="24"/>
              </w:rPr>
              <w:t xml:space="preserve">2</w:t>
            </w:r>
            <w:r>
              <w:rPr>
                <w:rFonts w:hint="eastAsia" w:ascii="宋体" w:hAnsi="宋体" w:cs="宋体"/>
                <w:sz w:val="24"/>
              </w:rPr>
              <w:t xml:space="preserve">分，每有一处内容存在缺陷或不满足要求的扣</w:t>
            </w:r>
            <w:r>
              <w:rPr>
                <w:rFonts w:ascii="宋体" w:hAnsi="宋体" w:cs="宋体"/>
                <w:sz w:val="24"/>
              </w:rPr>
              <w:t xml:space="preserve">1</w:t>
            </w:r>
            <w:r>
              <w:rPr>
                <w:rFonts w:hint="eastAsia" w:ascii="宋体" w:hAnsi="宋体" w:cs="宋体"/>
                <w:sz w:val="24"/>
              </w:rPr>
              <w:t xml:space="preserve">分，扣完为止。（缺陷或不满足指：与实际需求不符、套用其他项目方案、有规范性或常识性错误、存在无关的事项等任意一种情形）</w:t>
            </w:r>
            <w:r/>
          </w:p>
        </w:tc>
        <w:tc>
          <w:tcPr>
            <w:tcBorders>
              <w:top w:val="none" w:color="000000" w:sz="4" w:space="0"/>
              <w:left w:val="none" w:color="000000" w:sz="4" w:space="0"/>
              <w:bottom w:val="single" w:color="auto" w:sz="4" w:space="0"/>
              <w:right w:val="single" w:color="auto" w:sz="8" w:space="0"/>
            </w:tcBorders>
            <w:tcW w:w="113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10</w:t>
            </w:r>
            <w:r/>
          </w:p>
        </w:tc>
      </w:tr>
      <w:tr>
        <w:trPr>
          <w:trHeight w:val="1082"/>
        </w:trPr>
        <w:tc>
          <w:tcPr>
            <w:tcBorders>
              <w:top w:val="none" w:color="000000" w:sz="4" w:space="0"/>
              <w:left w:val="single" w:color="auto" w:sz="8" w:space="0"/>
              <w:bottom w:val="single" w:color="auto" w:sz="4" w:space="0"/>
              <w:right w:val="single" w:color="auto" w:sz="4" w:space="0"/>
            </w:tcBorders>
            <w:tcW w:w="86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rPr>
                <w:rFonts w:ascii="宋体" w:hAnsi="宋体" w:eastAsia="宋体" w:cs="宋体"/>
                <w:sz w:val="24"/>
                <w:szCs w:val="24"/>
              </w:rPr>
            </w:pPr>
            <w:r>
              <w:rPr>
                <w:rFonts w:hint="eastAsia" w:ascii="宋体" w:hAnsi="宋体" w:cs="宋体"/>
                <w:sz w:val="24"/>
              </w:rPr>
              <w:t xml:space="preserve">售后服务方案</w:t>
            </w:r>
            <w:r/>
          </w:p>
        </w:tc>
        <w:tc>
          <w:tcPr>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jc w:val="both"/>
              <w:rPr>
                <w:rFonts w:ascii="宋体" w:hAnsi="宋体" w:eastAsia="宋体" w:cs="宋体"/>
                <w:sz w:val="24"/>
                <w:szCs w:val="24"/>
              </w:rPr>
            </w:pPr>
            <w:r>
              <w:rPr>
                <w:rFonts w:hint="eastAsia" w:ascii="宋体" w:hAnsi="宋体" w:eastAsia="宋体" w:cs="宋体"/>
                <w:sz w:val="24"/>
                <w:szCs w:val="24"/>
              </w:rPr>
              <w:t xml:space="preserve">供应商根据第四章中“2、售后服务”要求，提供的售后服务方案，至少包含：①售后服务体系的建立；②退换货与更换服务；③响应机制与服务流程；④保障承诺；⑤备件承诺。</w:t>
            </w:r>
            <w:r/>
          </w:p>
          <w:p>
            <w:pPr>
              <w:jc w:val="both"/>
              <w:rPr>
                <w:rFonts w:ascii="宋体" w:hAnsi="宋体" w:eastAsia="宋体" w:cs="宋体"/>
                <w:sz w:val="24"/>
                <w:szCs w:val="24"/>
              </w:rPr>
            </w:pPr>
            <w:r>
              <w:rPr>
                <w:rFonts w:hint="eastAsia" w:ascii="宋体" w:hAnsi="宋体" w:eastAsia="宋体" w:cs="宋体"/>
                <w:sz w:val="24"/>
                <w:szCs w:val="24"/>
              </w:rPr>
              <w:t xml:space="preserve">方案内容满足以上全部要求且符合本项目实际需求的，得</w:t>
            </w:r>
            <w:r>
              <w:rPr>
                <w:rFonts w:ascii="宋体" w:hAnsi="宋体" w:eastAsia="宋体" w:cs="宋体"/>
                <w:sz w:val="24"/>
                <w:szCs w:val="24"/>
              </w:rPr>
              <w:t xml:space="preserve">10</w:t>
            </w:r>
            <w:r>
              <w:rPr>
                <w:rFonts w:hint="eastAsia" w:ascii="宋体" w:hAnsi="宋体" w:eastAsia="宋体" w:cs="宋体"/>
                <w:sz w:val="24"/>
                <w:szCs w:val="24"/>
              </w:rPr>
              <w:t xml:space="preserve">分，每有一项内容缺失的扣</w:t>
            </w:r>
            <w:r>
              <w:rPr>
                <w:rFonts w:ascii="宋体" w:hAnsi="宋体" w:eastAsia="宋体" w:cs="宋体"/>
                <w:sz w:val="24"/>
                <w:szCs w:val="24"/>
              </w:rPr>
              <w:t xml:space="preserve">2</w:t>
            </w:r>
            <w:r>
              <w:rPr>
                <w:rFonts w:hint="eastAsia" w:ascii="宋体" w:hAnsi="宋体" w:eastAsia="宋体" w:cs="宋体"/>
                <w:sz w:val="24"/>
                <w:szCs w:val="24"/>
              </w:rPr>
              <w:t xml:space="preserve">分，每有一处内容存在缺陷或不满足要求的扣</w:t>
            </w:r>
            <w:r>
              <w:rPr>
                <w:rFonts w:ascii="宋体" w:hAnsi="宋体" w:eastAsia="宋体" w:cs="宋体"/>
                <w:sz w:val="24"/>
                <w:szCs w:val="24"/>
              </w:rPr>
              <w:t xml:space="preserve">1</w:t>
            </w:r>
            <w:r>
              <w:rPr>
                <w:rFonts w:hint="eastAsia" w:ascii="宋体" w:hAnsi="宋体" w:eastAsia="宋体" w:cs="宋体"/>
                <w:sz w:val="24"/>
                <w:szCs w:val="24"/>
              </w:rPr>
              <w:t xml:space="preserve">分，扣完为止。（缺陷或不满足指：与实际需求不符、套用其他项目方案、有规范性或常识性错误、存在无关的事项等任意一种情形）</w:t>
            </w:r>
            <w:r/>
          </w:p>
        </w:tc>
        <w:tc>
          <w:tcPr>
            <w:tcBorders>
              <w:top w:val="none" w:color="000000" w:sz="4" w:space="0"/>
              <w:left w:val="single" w:color="auto" w:sz="4" w:space="0"/>
              <w:bottom w:val="single" w:color="auto" w:sz="4" w:space="0"/>
              <w:right w:val="single" w:color="auto" w:sz="8" w:space="0"/>
            </w:tcBorders>
            <w:tcW w:w="113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10</w:t>
            </w:r>
            <w:r/>
          </w:p>
        </w:tc>
      </w:tr>
      <w:tr>
        <w:trPr>
          <w:trHeight w:val="2494"/>
        </w:trPr>
        <w:tc>
          <w:tcPr>
            <w:tcBorders>
              <w:top w:val="none" w:color="000000" w:sz="4" w:space="0"/>
              <w:left w:val="single" w:color="auto" w:sz="8" w:space="0"/>
              <w:bottom w:val="single" w:color="auto" w:sz="4" w:space="0"/>
              <w:right w:val="single" w:color="auto" w:sz="4" w:space="0"/>
            </w:tcBorders>
            <w:tcW w:w="863"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single" w:color="auto" w:sz="4" w:space="0"/>
              <w:bottom w:val="single" w:color="auto" w:sz="4" w:space="0"/>
              <w:right w:val="single" w:color="auto" w:sz="4" w:space="0"/>
            </w:tcBorders>
            <w:tcW w:w="1276" w:type="dxa"/>
            <w:vAlign w:val="center"/>
            <w:textDirection w:val="lrTb"/>
            <w:noWrap w:val="false"/>
          </w:tcPr>
          <w:p>
            <w:pPr>
              <w:jc w:val="both"/>
              <w:rPr>
                <w:rFonts w:ascii="宋体" w:hAnsi="宋体" w:eastAsia="宋体" w:cs="宋体"/>
                <w:sz w:val="24"/>
                <w:szCs w:val="24"/>
              </w:rPr>
            </w:pPr>
            <w:r>
              <w:rPr>
                <w:rFonts w:hint="eastAsia" w:ascii="宋体" w:hAnsi="宋体" w:eastAsia="宋体" w:cs="宋体"/>
                <w:sz w:val="24"/>
                <w:szCs w:val="24"/>
              </w:rPr>
              <w:t xml:space="preserve">业绩</w:t>
            </w:r>
            <w:r/>
          </w:p>
        </w:tc>
        <w:tc>
          <w:tcPr>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jc w:val="both"/>
              <w:rPr>
                <w:rFonts w:ascii="宋体" w:hAnsi="宋体" w:eastAsia="宋体" w:cs="宋体"/>
                <w:sz w:val="24"/>
                <w:szCs w:val="24"/>
              </w:rPr>
            </w:pPr>
            <w:r>
              <w:rPr>
                <w:rFonts w:hint="eastAsia" w:ascii="宋体" w:hAnsi="宋体" w:eastAsia="宋体" w:cs="宋体"/>
                <w:sz w:val="24"/>
                <w:szCs w:val="24"/>
              </w:rPr>
              <w:t xml:space="preserve">供应商自2021年1月1日以来（以签订合同时间为准）具有类似项目业绩的，每提供一个类似业绩得</w:t>
            </w:r>
            <w:r>
              <w:rPr>
                <w:rFonts w:ascii="宋体" w:hAnsi="宋体" w:eastAsia="宋体" w:cs="宋体"/>
                <w:sz w:val="24"/>
                <w:szCs w:val="24"/>
              </w:rPr>
              <w:t xml:space="preserve">4</w:t>
            </w:r>
            <w:r>
              <w:rPr>
                <w:rFonts w:hint="eastAsia" w:ascii="宋体" w:hAnsi="宋体" w:eastAsia="宋体" w:cs="宋体"/>
                <w:sz w:val="24"/>
                <w:szCs w:val="24"/>
              </w:rPr>
              <w:t xml:space="preserve">分，此项最高得</w:t>
            </w:r>
            <w:r>
              <w:rPr>
                <w:rFonts w:ascii="宋体" w:hAnsi="宋体" w:eastAsia="宋体" w:cs="宋体"/>
                <w:sz w:val="24"/>
                <w:szCs w:val="24"/>
              </w:rPr>
              <w:t xml:space="preserve">16</w:t>
            </w:r>
            <w:r>
              <w:rPr>
                <w:rFonts w:hint="eastAsia" w:ascii="宋体" w:hAnsi="宋体" w:eastAsia="宋体" w:cs="宋体"/>
                <w:sz w:val="24"/>
                <w:szCs w:val="24"/>
              </w:rPr>
              <w:t xml:space="preserve">分。</w:t>
            </w:r>
            <w:r/>
          </w:p>
          <w:p>
            <w:pPr>
              <w:jc w:val="both"/>
              <w:rPr>
                <w:rFonts w:ascii="宋体" w:hAnsi="宋体" w:cs="宋体"/>
                <w:sz w:val="24"/>
                <w:szCs w:val="24"/>
              </w:rPr>
            </w:pPr>
            <w:r>
              <w:rPr>
                <w:rFonts w:hint="eastAsia" w:ascii="宋体" w:hAnsi="宋体" w:eastAsia="宋体" w:cs="宋体"/>
                <w:sz w:val="24"/>
                <w:szCs w:val="24"/>
              </w:rPr>
              <w:t xml:space="preserve">注：投标人须提供合同扫描件并加盖投标人公章，合同中必须包含合同签订时间、公章或合同专用章等信息，否则不计分。</w:t>
            </w:r>
            <w:r>
              <w:rPr>
                <w:rFonts w:hint="eastAsia" w:ascii="宋体" w:hAnsi="宋体" w:cs="宋体"/>
                <w:sz w:val="24"/>
                <w:szCs w:val="24"/>
              </w:rPr>
              <w:t xml:space="preserve">若合同中不能体现类似内容，须提供甲方盖章的证明文件。</w:t>
            </w:r>
            <w:r/>
          </w:p>
        </w:tc>
        <w:tc>
          <w:tcPr>
            <w:tcBorders>
              <w:top w:val="none" w:color="000000" w:sz="4" w:space="0"/>
              <w:left w:val="single" w:color="auto" w:sz="4" w:space="0"/>
              <w:bottom w:val="single" w:color="auto" w:sz="4" w:space="0"/>
              <w:right w:val="single" w:color="auto" w:sz="8" w:space="0"/>
            </w:tcBorders>
            <w:tcW w:w="1134"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t xml:space="preserve">16</w:t>
            </w:r>
            <w:r/>
          </w:p>
        </w:tc>
      </w:tr>
    </w:tbl>
    <w:p>
      <w:pPr>
        <w:ind w:firstLine="420"/>
        <w:jc w:val="both"/>
        <w:spacing w:line="85" w:lineRule="atLeast"/>
        <w:tabs>
          <w:tab w:val="left" w:pos="900" w:leader="none"/>
        </w:tabs>
        <w:pBdr>
          <w:top w:val="none" w:color="000000" w:sz="0" w:space="0"/>
          <w:left w:val="none" w:color="000000" w:sz="0" w:space="0"/>
          <w:bottom w:val="none" w:color="000000" w:sz="0" w:space="0"/>
          <w:right w:val="none" w:color="000000" w:sz="0" w:space="0"/>
        </w:pBdr>
      </w:pPr>
      <w:r/>
      <w:r/>
    </w:p>
    <w:p>
      <w:pPr>
        <w:spacing w:before="240" w:after="240" w:line="8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44"/>
        </w:rPr>
        <w:t xml:space="preserve">      </w:t>
      </w:r>
      <w:r>
        <w:rPr>
          <w:rFonts w:ascii="宋体" w:hAnsi="宋体" w:eastAsia="宋体" w:cs="宋体"/>
          <w:color w:val="000000"/>
          <w:sz w:val="44"/>
        </w:rPr>
        <w:br w:type="page" w:clear="all"/>
      </w:r>
      <w:r/>
    </w:p>
    <w:p>
      <w:pPr>
        <w:jc w:val="center"/>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bookmarkStart w:id="32" w:name="_Toc207118527"/>
      <w:r>
        <w:rPr>
          <w:rFonts w:ascii="宋体" w:hAnsi="宋体" w:eastAsia="宋体" w:cs="宋体"/>
          <w:color w:val="000000"/>
          <w:sz w:val="44"/>
        </w:rPr>
        <w:t xml:space="preserve">第六章</w:t>
      </w:r>
      <w:r>
        <w:rPr>
          <w:rFonts w:hint="eastAsia" w:ascii="宋体" w:hAnsi="宋体" w:eastAsia="宋体" w:cs="宋体"/>
          <w:color w:val="000000"/>
          <w:sz w:val="44"/>
        </w:rPr>
        <w:t xml:space="preserve"> </w:t>
      </w:r>
      <w:r>
        <w:rPr>
          <w:rFonts w:ascii="宋体" w:hAnsi="宋体" w:eastAsia="宋体" w:cs="宋体"/>
          <w:color w:val="000000"/>
          <w:sz w:val="44"/>
        </w:rPr>
        <w:t xml:space="preserve">投标文件格式</w:t>
      </w:r>
      <w:bookmarkEnd w:id="32"/>
      <w:r/>
      <w:r/>
    </w:p>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 标 文 件</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firstLine="1807"/>
        <w:spacing w:line="330" w:lineRule="atLeast"/>
        <w:rPr>
          <w:rFonts w:ascii="宋体" w:hAnsi="宋体" w:eastAsia="宋体" w:cs="宋体"/>
          <w:b/>
          <w:color w:val="000000"/>
          <w:sz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w:t>
      </w:r>
      <w:r>
        <w:rPr>
          <w:rFonts w:hint="eastAsia" w:ascii="宋体" w:hAnsi="宋体" w:eastAsia="宋体" w:cs="宋体"/>
          <w:b/>
          <w:color w:val="000000"/>
          <w:sz w:val="36"/>
        </w:rPr>
        <w:t xml:space="preserve"> </w:t>
      </w:r>
      <w:r>
        <w:rPr>
          <w:rFonts w:ascii="宋体" w:hAnsi="宋体" w:eastAsia="宋体" w:cs="宋体"/>
          <w:b/>
          <w:color w:val="000000"/>
          <w:sz w:val="36"/>
        </w:rPr>
        <w:t xml:space="preserve">目</w:t>
      </w:r>
      <w:r>
        <w:rPr>
          <w:rFonts w:hint="eastAsia" w:ascii="宋体" w:hAnsi="宋体" w:eastAsia="宋体" w:cs="宋体"/>
          <w:b/>
          <w:color w:val="000000"/>
          <w:sz w:val="36"/>
        </w:rPr>
        <w:t xml:space="preserve"> </w:t>
      </w:r>
      <w:r>
        <w:rPr>
          <w:rFonts w:ascii="宋体" w:hAnsi="宋体" w:eastAsia="宋体" w:cs="宋体"/>
          <w:b/>
          <w:color w:val="000000"/>
          <w:sz w:val="36"/>
        </w:rPr>
        <w:t xml:space="preserve">名</w:t>
      </w:r>
      <w:r>
        <w:rPr>
          <w:rFonts w:hint="eastAsia" w:ascii="宋体" w:hAnsi="宋体" w:eastAsia="宋体" w:cs="宋体"/>
          <w:b/>
          <w:color w:val="000000"/>
          <w:sz w:val="36"/>
        </w:rPr>
        <w:t xml:space="preserve"> </w:t>
      </w:r>
      <w:r>
        <w:rPr>
          <w:rFonts w:ascii="宋体" w:hAnsi="宋体" w:eastAsia="宋体" w:cs="宋体"/>
          <w:b/>
          <w:color w:val="000000"/>
          <w:sz w:val="36"/>
        </w:rPr>
        <w:t xml:space="preserve">称：</w:t>
      </w:r>
      <w:r>
        <w:rPr>
          <w:rFonts w:ascii="宋体" w:hAnsi="宋体" w:eastAsia="宋体" w:cs="宋体"/>
          <w:b/>
          <w:color w:val="000000"/>
          <w:sz w:val="36"/>
          <w:u w:val="single"/>
        </w:rPr>
        <w:t xml:space="preserve">             </w:t>
      </w:r>
      <w:r/>
    </w:p>
    <w:p>
      <w:pPr>
        <w:ind w:firstLine="1807"/>
        <w:spacing w:line="33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w:t>
      </w:r>
      <w:r>
        <w:rPr>
          <w:rFonts w:hint="eastAsia" w:ascii="宋体" w:hAnsi="宋体" w:eastAsia="宋体" w:cs="宋体"/>
          <w:b/>
          <w:color w:val="000000"/>
          <w:sz w:val="36"/>
        </w:rPr>
        <w:t xml:space="preserve"> </w:t>
      </w:r>
      <w:r>
        <w:rPr>
          <w:rFonts w:ascii="宋体" w:hAnsi="宋体" w:eastAsia="宋体" w:cs="宋体"/>
          <w:b/>
          <w:color w:val="000000"/>
          <w:sz w:val="36"/>
        </w:rPr>
        <w:t xml:space="preserve">目</w:t>
      </w:r>
      <w:r>
        <w:rPr>
          <w:rFonts w:hint="eastAsia" w:ascii="宋体" w:hAnsi="宋体" w:eastAsia="宋体" w:cs="宋体"/>
          <w:b/>
          <w:color w:val="000000"/>
          <w:sz w:val="36"/>
        </w:rPr>
        <w:t xml:space="preserve"> </w:t>
      </w:r>
      <w:r>
        <w:rPr>
          <w:rFonts w:ascii="宋体" w:hAnsi="宋体" w:eastAsia="宋体" w:cs="宋体"/>
          <w:b/>
          <w:color w:val="000000"/>
          <w:sz w:val="36"/>
        </w:rPr>
        <w:t xml:space="preserve">编</w:t>
      </w:r>
      <w:r>
        <w:rPr>
          <w:rFonts w:hint="eastAsia" w:ascii="宋体" w:hAnsi="宋体" w:eastAsia="宋体" w:cs="宋体"/>
          <w:b/>
          <w:color w:val="000000"/>
          <w:sz w:val="36"/>
        </w:rPr>
        <w:t xml:space="preserve"> </w:t>
      </w:r>
      <w:r>
        <w:rPr>
          <w:rFonts w:ascii="宋体" w:hAnsi="宋体" w:eastAsia="宋体" w:cs="宋体"/>
          <w:b/>
          <w:color w:val="000000"/>
          <w:sz w:val="36"/>
        </w:rPr>
        <w:t xml:space="preserve">号：</w:t>
      </w:r>
      <w:r>
        <w:rPr>
          <w:rFonts w:ascii="宋体" w:hAnsi="宋体" w:eastAsia="宋体" w:cs="宋体"/>
          <w:b/>
          <w:color w:val="000000"/>
          <w:sz w:val="36"/>
          <w:u w:val="single"/>
        </w:rPr>
        <w:t xml:space="preserve">             </w:t>
      </w:r>
      <w:r/>
    </w:p>
    <w:p>
      <w:pPr>
        <w:ind w:firstLine="1807"/>
        <w:spacing w:line="33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w:t>
      </w:r>
      <w:r>
        <w:rPr>
          <w:rFonts w:hint="eastAsia" w:ascii="宋体" w:hAnsi="宋体" w:eastAsia="宋体" w:cs="宋体"/>
          <w:b/>
          <w:color w:val="000000"/>
          <w:sz w:val="36"/>
        </w:rPr>
        <w:t xml:space="preserve"> </w:t>
      </w:r>
      <w:r>
        <w:rPr>
          <w:rFonts w:ascii="宋体" w:hAnsi="宋体" w:eastAsia="宋体" w:cs="宋体"/>
          <w:b/>
          <w:color w:val="000000"/>
          <w:sz w:val="36"/>
        </w:rPr>
        <w:t xml:space="preserve">标人名称：</w:t>
      </w:r>
      <w:r>
        <w:rPr>
          <w:rFonts w:ascii="宋体" w:hAnsi="宋体" w:eastAsia="宋体" w:cs="宋体"/>
          <w:b/>
          <w:color w:val="000000"/>
          <w:sz w:val="36"/>
          <w:u w:val="single"/>
        </w:rPr>
        <w:t xml:space="preserve">（加盖CA电子公章） </w:t>
      </w:r>
      <w:r/>
    </w:p>
    <w:p>
      <w:pPr>
        <w:ind w:firstLine="1807"/>
        <w:spacing w:line="33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 </w:t>
      </w:r>
      <w:r>
        <w:rPr>
          <w:rFonts w:hint="eastAsia" w:ascii="宋体" w:hAnsi="宋体" w:eastAsia="宋体" w:cs="宋体"/>
          <w:b/>
          <w:color w:val="000000"/>
          <w:sz w:val="36"/>
        </w:rPr>
        <w:t xml:space="preserve"> </w:t>
      </w:r>
      <w:r>
        <w:rPr>
          <w:rFonts w:ascii="宋体" w:hAnsi="宋体" w:eastAsia="宋体" w:cs="宋体"/>
          <w:b/>
          <w:color w:val="000000"/>
          <w:sz w:val="36"/>
        </w:rPr>
        <w:t xml:space="preserve">  </w:t>
      </w:r>
      <w:r>
        <w:rPr>
          <w:rFonts w:hint="eastAsia" w:ascii="宋体" w:hAnsi="宋体" w:eastAsia="宋体" w:cs="宋体"/>
          <w:b/>
          <w:color w:val="000000"/>
          <w:sz w:val="36"/>
        </w:rPr>
        <w:t xml:space="preserve"> </w:t>
      </w:r>
      <w:r>
        <w:rPr>
          <w:rFonts w:ascii="宋体" w:hAnsi="宋体" w:eastAsia="宋体" w:cs="宋体"/>
          <w:b/>
          <w:color w:val="000000"/>
          <w:sz w:val="36"/>
        </w:rPr>
        <w:t xml:space="preserve">期：</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rPr>
        <w:t xml:space="preserve">  </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rPr>
        <w:t xml:space="preserve">  </w:t>
      </w:r>
      <w:r/>
    </w:p>
    <w:p>
      <w:pPr>
        <w:ind w:firstLine="480"/>
        <w:spacing w:before="120" w:after="120" w:line="3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 </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投标文件目录</w:t>
      </w:r>
      <w:r/>
    </w:p>
    <w:p>
      <w:pPr>
        <w:jc w:val="center"/>
        <w:spacing w:line="360" w:lineRule="auto"/>
        <w:pBdr>
          <w:top w:val="none" w:color="000000" w:sz="0" w:space="0"/>
          <w:left w:val="none" w:color="000000" w:sz="0" w:space="0"/>
          <w:bottom w:val="none" w:color="000000" w:sz="0" w:space="0"/>
          <w:right w:val="none" w:color="000000" w:sz="0" w:space="0"/>
        </w:pBdr>
      </w:pPr>
      <w:r/>
      <w:r/>
    </w:p>
    <w:p>
      <w:pPr>
        <w:jc w:val="both"/>
        <w:spacing w:line="360" w:lineRule="auto"/>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一、法人或者其他组织的营业执照等证明文件，自然人的身份证明</w:t>
      </w:r>
      <w:r/>
    </w:p>
    <w:p>
      <w:pPr>
        <w:spacing w:line="360" w:lineRule="auto"/>
        <w:tabs>
          <w:tab w:val="left" w:pos="1331" w:leader="none"/>
        </w:tabs>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二、上一年度的财务状况报表（至少提供资产负债表、利润表、现金流量表，投标人成立不满一年无需提供）</w:t>
      </w:r>
      <w:r/>
    </w:p>
    <w:p>
      <w:pPr>
        <w:jc w:val="both"/>
        <w:spacing w:line="360" w:lineRule="auto"/>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三、具备履行合同所必需的设备和专业技术能力的书面声明</w:t>
      </w:r>
      <w:r/>
    </w:p>
    <w:p>
      <w:pPr>
        <w:jc w:val="both"/>
        <w:spacing w:line="360" w:lineRule="auto"/>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jc w:val="both"/>
        <w:spacing w:line="360" w:lineRule="auto"/>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五、参加政府采购活动前3年内在经营活动中没有重大违法记录的书面声明</w:t>
      </w:r>
      <w:r/>
    </w:p>
    <w:p>
      <w:pPr>
        <w:jc w:val="both"/>
        <w:spacing w:line="360" w:lineRule="auto"/>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六、特定资格要求的证明文件（如果本项目设置特定资格要求，则需要提供）</w:t>
      </w:r>
      <w:r/>
    </w:p>
    <w:p>
      <w:pPr>
        <w:jc w:val="both"/>
        <w:spacing w:line="360" w:lineRule="auto"/>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七、法人授权书</w:t>
      </w:r>
      <w:r/>
    </w:p>
    <w:p>
      <w:pPr>
        <w:jc w:val="both"/>
        <w:spacing w:line="360" w:lineRule="auto"/>
        <w:rPr>
          <w:rFonts w:ascii="宋体" w:hAnsi="宋体" w:eastAsia="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八、投标函</w:t>
      </w:r>
      <w:r/>
    </w:p>
    <w:p>
      <w:pPr>
        <w:jc w:val="both"/>
        <w:spacing w:line="360" w:lineRule="auto"/>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九、</w:t>
      </w:r>
      <w:r>
        <w:rPr>
          <w:rFonts w:hint="eastAsia" w:ascii="宋体" w:hAnsi="宋体" w:eastAsia="宋体" w:cs="宋体"/>
          <w:iCs/>
          <w:color w:val="000000"/>
          <w:sz w:val="24"/>
        </w:rPr>
        <w:t xml:space="preserve">中小企业声明函（货物）</w:t>
      </w:r>
      <w:r/>
    </w:p>
    <w:p>
      <w:pPr>
        <w:jc w:val="both"/>
        <w:spacing w:line="360" w:lineRule="auto"/>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十、残疾人福利性单位声明函</w:t>
      </w:r>
      <w:r/>
    </w:p>
    <w:p>
      <w:pPr>
        <w:jc w:val="both"/>
        <w:spacing w:line="360" w:lineRule="auto"/>
        <w:rPr>
          <w:rFonts w:ascii="宋体" w:hAnsi="宋体" w:eastAsia="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十</w:t>
      </w:r>
      <w:r>
        <w:rPr>
          <w:rFonts w:hint="eastAsia" w:ascii="宋体" w:hAnsi="宋体" w:eastAsia="宋体" w:cs="宋体"/>
          <w:iCs/>
          <w:color w:val="000000"/>
          <w:sz w:val="24"/>
        </w:rPr>
        <w:t xml:space="preserve">一</w:t>
      </w:r>
      <w:r>
        <w:rPr>
          <w:rFonts w:ascii="宋体" w:hAnsi="宋体" w:eastAsia="宋体" w:cs="宋体"/>
          <w:iCs/>
          <w:color w:val="000000"/>
          <w:sz w:val="24"/>
        </w:rPr>
        <w:t xml:space="preserve">、投标分项报价表</w:t>
      </w:r>
      <w:r/>
    </w:p>
    <w:p>
      <w:pPr>
        <w:jc w:val="both"/>
        <w:spacing w:line="360" w:lineRule="auto"/>
        <w:rPr>
          <w:rFonts w:ascii="宋体" w:hAnsi="宋体" w:eastAsia="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十</w:t>
      </w:r>
      <w:r>
        <w:rPr>
          <w:rFonts w:hint="eastAsia" w:ascii="宋体" w:hAnsi="宋体" w:eastAsia="宋体" w:cs="宋体"/>
          <w:iCs/>
          <w:color w:val="000000"/>
          <w:sz w:val="24"/>
        </w:rPr>
        <w:t xml:space="preserve">二</w:t>
      </w:r>
      <w:r>
        <w:rPr>
          <w:rFonts w:ascii="宋体" w:hAnsi="宋体" w:eastAsia="宋体" w:cs="宋体"/>
          <w:iCs/>
          <w:color w:val="000000"/>
          <w:sz w:val="24"/>
        </w:rPr>
        <w:t xml:space="preserve">、技术要求响应及偏离表</w:t>
      </w:r>
      <w:r/>
    </w:p>
    <w:p>
      <w:pPr>
        <w:jc w:val="both"/>
        <w:spacing w:line="360" w:lineRule="auto"/>
        <w:rPr>
          <w:rFonts w:ascii="宋体" w:hAnsi="宋体" w:eastAsia="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十</w:t>
      </w:r>
      <w:r>
        <w:rPr>
          <w:rFonts w:hint="eastAsia" w:ascii="宋体" w:hAnsi="宋体" w:eastAsia="宋体" w:cs="宋体"/>
          <w:iCs/>
          <w:color w:val="000000"/>
          <w:sz w:val="24"/>
        </w:rPr>
        <w:t xml:space="preserve">三</w:t>
      </w:r>
      <w:r>
        <w:rPr>
          <w:rFonts w:ascii="宋体" w:hAnsi="宋体" w:eastAsia="宋体" w:cs="宋体"/>
          <w:iCs/>
          <w:color w:val="000000"/>
          <w:sz w:val="24"/>
        </w:rPr>
        <w:t xml:space="preserve">、商务要求响应及偏离表</w:t>
      </w:r>
      <w:r/>
    </w:p>
    <w:p>
      <w:pPr>
        <w:jc w:val="both"/>
        <w:spacing w:line="360" w:lineRule="auto"/>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十</w:t>
      </w:r>
      <w:r>
        <w:rPr>
          <w:rFonts w:hint="eastAsia" w:ascii="宋体" w:hAnsi="宋体" w:eastAsia="宋体" w:cs="宋体"/>
          <w:iCs/>
          <w:color w:val="000000"/>
          <w:sz w:val="24"/>
        </w:rPr>
        <w:t xml:space="preserve">四</w:t>
      </w:r>
      <w:r>
        <w:rPr>
          <w:rFonts w:ascii="宋体" w:hAnsi="宋体" w:eastAsia="宋体" w:cs="宋体"/>
          <w:iCs/>
          <w:color w:val="000000"/>
          <w:sz w:val="24"/>
        </w:rPr>
        <w:t xml:space="preserve">、开标一览表</w:t>
      </w:r>
      <w:r/>
    </w:p>
    <w:p>
      <w:pPr>
        <w:spacing w:line="360" w:lineRule="auto"/>
        <w:rPr>
          <w:iCs/>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十</w:t>
      </w:r>
      <w:r>
        <w:rPr>
          <w:rFonts w:hint="eastAsia" w:ascii="宋体" w:hAnsi="宋体" w:eastAsia="宋体" w:cs="宋体"/>
          <w:iCs/>
          <w:color w:val="000000"/>
          <w:sz w:val="24"/>
        </w:rPr>
        <w:t xml:space="preserve">五</w:t>
      </w:r>
      <w:r>
        <w:rPr>
          <w:rFonts w:ascii="宋体" w:hAnsi="宋体" w:eastAsia="宋体" w:cs="宋体"/>
          <w:iCs/>
          <w:color w:val="000000"/>
          <w:sz w:val="24"/>
        </w:rPr>
        <w:t xml:space="preserve">、</w:t>
      </w:r>
      <w:r>
        <w:rPr>
          <w:rFonts w:hint="eastAsia" w:ascii="宋体" w:hAnsi="宋体" w:eastAsia="宋体" w:cs="宋体"/>
          <w:iCs/>
          <w:color w:val="000000"/>
          <w:sz w:val="24"/>
        </w:rPr>
        <w:t xml:space="preserve">实施</w:t>
      </w:r>
      <w:r>
        <w:rPr>
          <w:rFonts w:ascii="宋体" w:hAnsi="宋体" w:eastAsia="宋体" w:cs="宋体"/>
          <w:iCs/>
          <w:color w:val="000000"/>
          <w:sz w:val="24"/>
        </w:rPr>
        <w:t xml:space="preserve">方案</w:t>
      </w:r>
      <w:r/>
    </w:p>
    <w:p>
      <w:pPr>
        <w:jc w:val="both"/>
        <w:spacing w:line="360" w:lineRule="auto"/>
        <w:rPr>
          <w:rFonts w:ascii="宋体" w:hAnsi="宋体" w:eastAsia="宋体" w:cs="宋体"/>
          <w:i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Cs/>
          <w:color w:val="000000"/>
          <w:sz w:val="24"/>
        </w:rPr>
        <w:t xml:space="preserve">十六、投标人认为需要提供的其他材料</w:t>
      </w:r>
      <w:r/>
    </w:p>
    <w:p>
      <w:pPr>
        <w:jc w:val="both"/>
        <w:spacing w:line="360" w:lineRule="auto"/>
        <w:rPr>
          <w:rFonts w:ascii="宋体" w:hAnsi="宋体" w:eastAsia="宋体" w:cs="宋体"/>
          <w:iCs/>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iCs/>
          <w:color w:val="000000"/>
          <w:sz w:val="24"/>
        </w:rPr>
        <w:t xml:space="preserve">十</w:t>
      </w:r>
      <w:r>
        <w:rPr>
          <w:rFonts w:hint="eastAsia" w:ascii="宋体" w:hAnsi="宋体" w:eastAsia="宋体" w:cs="宋体"/>
          <w:iCs/>
          <w:color w:val="000000"/>
          <w:sz w:val="24"/>
        </w:rPr>
        <w:t xml:space="preserve">七</w:t>
      </w:r>
      <w:r>
        <w:rPr>
          <w:rFonts w:ascii="宋体" w:hAnsi="宋体" w:eastAsia="宋体" w:cs="宋体"/>
          <w:iCs/>
          <w:color w:val="000000"/>
          <w:sz w:val="24"/>
        </w:rPr>
        <w:t xml:space="preserve">、盐城市政府采购事前信用承诺书</w:t>
      </w:r>
      <w:r/>
    </w:p>
    <w:p>
      <w:pPr>
        <w:ind w:firstLine="440"/>
        <w:spacing w:line="330"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黑体" w:hAnsi="黑体" w:eastAsia="黑体" w:cs="黑体"/>
          <w:i/>
          <w:color w:val="000000"/>
          <w:sz w:val="32"/>
          <w:u w:val="single"/>
        </w:rPr>
        <w:t xml:space="preserve">一、法人或者其他组织的营业执照等证明文件，自然人的身份证明</w:t>
      </w:r>
      <w:r/>
    </w:p>
    <w:p>
      <w:pPr>
        <w:ind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二、上一年度的财务状况报表</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（至少提供资产负债表、利润表、现金流量表，磋商供应商成立不满一年无需提供）</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三、具备履行合同所必需的设备和专业技术能力的书面声明</w:t>
      </w:r>
      <w:r/>
    </w:p>
    <w:p>
      <w:pPr>
        <w:ind w:firstLine="492"/>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四、依法缴纳税收和社会保障资金的相关材料</w:t>
      </w:r>
      <w:r/>
    </w:p>
    <w:p>
      <w:pPr>
        <w:ind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五、参加政府采购活动前3 年内在经营活动中没有重大违法记录的书面声明</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w:t>
      </w:r>
      <w:r/>
    </w:p>
    <w:p>
      <w:pPr>
        <w:ind w:firstLine="3092"/>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4"/>
        </w:rPr>
        <w:t xml:space="preserve"> 声  明</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 年内，我单位在经营活动中没有因违法经营受到刑事处罚或者责令停产停业、吊销许可证或者执照、较大数额罚款等行政处罚。</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六、特定资格要求的证明文件</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如果本项目申请人的特定资格要求中要求提供的，必须提供。</w:t>
      </w:r>
      <w:r/>
    </w:p>
    <w:p>
      <w:pPr>
        <w:ind w:firstLine="420"/>
        <w:jc w:val="center"/>
        <w:spacing w:before="240" w:after="240" w:line="360" w:lineRule="atLeast"/>
        <w:rPr>
          <w:rFonts w:ascii="黑体" w:hAnsi="黑体" w:eastAsia="黑体" w:cs="黑体"/>
          <w:i/>
          <w:color w:val="000000"/>
          <w:sz w:val="32"/>
          <w:u w:val="single"/>
        </w:rPr>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i/>
          <w:color w:val="000000"/>
          <w:sz w:val="32"/>
          <w:u w:val="single"/>
        </w:rPr>
        <w:t xml:space="preserve">七、法人授权书</w:t>
      </w:r>
      <w:r/>
    </w:p>
    <w:p>
      <w:pPr>
        <w:ind w:firstLine="480"/>
        <w:jc w:val="both"/>
        <w:spacing w:before="240" w:after="240" w:line="36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w:t>
      </w:r>
      <w:r>
        <w:rPr>
          <w:rFonts w:eastAsia="Times New Roman"/>
          <w:color w:val="000000"/>
          <w:sz w:val="24"/>
        </w:rPr>
        <w:t xml:space="preserve">____________</w:t>
      </w:r>
      <w:r>
        <w:rPr>
          <w:rFonts w:ascii="宋体" w:hAnsi="宋体" w:eastAsia="宋体" w:cs="宋体"/>
          <w:color w:val="000000"/>
          <w:sz w:val="24"/>
        </w:rPr>
        <w:t xml:space="preserve">（投标人名称）授权</w:t>
      </w:r>
      <w:r>
        <w:rPr>
          <w:rFonts w:eastAsia="Times New Roman"/>
          <w:color w:val="000000"/>
          <w:sz w:val="24"/>
        </w:rPr>
        <w:t xml:space="preserve">________________</w:t>
      </w:r>
      <w:r>
        <w:rPr>
          <w:rFonts w:ascii="宋体" w:hAnsi="宋体" w:eastAsia="宋体" w:cs="宋体"/>
          <w:color w:val="000000"/>
          <w:sz w:val="24"/>
        </w:rPr>
        <w:t xml:space="preserve">（被授权人的姓名）为我方就</w:t>
      </w:r>
      <w:r>
        <w:rPr>
          <w:rFonts w:hint="eastAsia"/>
          <w:color w:val="000000"/>
          <w:sz w:val="24"/>
          <w:u w:val="single"/>
        </w:rPr>
        <w:t xml:space="preserve">          </w:t>
      </w:r>
      <w:r>
        <w:rPr>
          <w:rFonts w:eastAsia="Times New Roman"/>
          <w:color w:val="000000"/>
          <w:sz w:val="24"/>
          <w:u w:val="single"/>
        </w:rPr>
        <w:t xml:space="preserve">  </w:t>
      </w:r>
      <w:r>
        <w:rPr>
          <w:rFonts w:ascii="宋体" w:hAnsi="宋体" w:eastAsia="宋体" w:cs="宋体"/>
          <w:color w:val="000000"/>
          <w:sz w:val="24"/>
        </w:rPr>
        <w:t xml:space="preserve">项目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标段</w:t>
      </w:r>
      <w:r>
        <w:rPr>
          <w:rFonts w:ascii="宋体" w:hAnsi="宋体" w:eastAsia="宋体" w:cs="宋体"/>
          <w:color w:val="000000"/>
          <w:sz w:val="24"/>
        </w:rPr>
        <w:t xml:space="preserve">采购活动的合法代理人，以本单位名义全权处理一切与该项目采购有关的事务。</w:t>
      </w:r>
      <w:r/>
    </w:p>
    <w:p>
      <w:pPr>
        <w:ind w:firstLine="480"/>
        <w:jc w:val="both"/>
        <w:spacing w:before="240" w:after="240" w:line="36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w:t>
      </w:r>
      <w:r>
        <w:rPr>
          <w:rFonts w:eastAsia="Times New Roman"/>
          <w:color w:val="000000"/>
          <w:sz w:val="24"/>
        </w:rPr>
        <w:t xml:space="preserve">______</w:t>
      </w:r>
      <w:r>
        <w:rPr>
          <w:rFonts w:ascii="宋体" w:hAnsi="宋体" w:eastAsia="宋体" w:cs="宋体"/>
          <w:color w:val="000000"/>
          <w:sz w:val="24"/>
        </w:rPr>
        <w:t xml:space="preserve">年</w:t>
      </w:r>
      <w:r>
        <w:rPr>
          <w:rFonts w:eastAsia="Times New Roman"/>
          <w:color w:val="000000"/>
          <w:sz w:val="24"/>
        </w:rPr>
        <w:t xml:space="preserve">____</w:t>
      </w:r>
      <w:r>
        <w:rPr>
          <w:rFonts w:ascii="宋体" w:hAnsi="宋体" w:eastAsia="宋体" w:cs="宋体"/>
          <w:color w:val="000000"/>
          <w:sz w:val="24"/>
        </w:rPr>
        <w:t xml:space="preserve">月</w:t>
      </w:r>
      <w:r>
        <w:rPr>
          <w:rFonts w:eastAsia="Times New Roman"/>
          <w:color w:val="000000"/>
          <w:sz w:val="24"/>
        </w:rPr>
        <w:t xml:space="preserve">____</w:t>
      </w:r>
      <w:r>
        <w:rPr>
          <w:rFonts w:ascii="宋体" w:hAnsi="宋体" w:eastAsia="宋体" w:cs="宋体"/>
          <w:color w:val="000000"/>
          <w:sz w:val="24"/>
        </w:rPr>
        <w:t xml:space="preserve">日起生效，特此声明。</w:t>
      </w:r>
      <w:r/>
    </w:p>
    <w:p>
      <w:pPr>
        <w:ind w:firstLine="420"/>
        <w:jc w:val="both"/>
        <w:spacing w:before="240" w:after="240" w:line="360" w:lineRule="atLeast"/>
        <w:tabs>
          <w:tab w:val="left" w:pos="360" w:leader="none"/>
        </w:tabs>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eastAsia="宋体" w:cs="宋体"/>
          <w:color w:val="000000"/>
          <w:sz w:val="24"/>
        </w:rPr>
        <w:t xml:space="preserve">被授权人身份证号码：</w:t>
      </w:r>
      <w:r>
        <w:rPr>
          <w:rFonts w:eastAsia="Times New Roman"/>
          <w:color w:val="000000"/>
          <w:sz w:val="24"/>
          <w:u w:val="single"/>
        </w:rPr>
        <w:t xml:space="preserve">                             </w:t>
      </w:r>
      <w:r/>
    </w:p>
    <w:p>
      <w:pPr>
        <w:ind w:firstLine="420"/>
        <w:jc w:val="both"/>
        <w:spacing w:before="240" w:after="240" w:line="360" w:lineRule="atLeast"/>
        <w:tabs>
          <w:tab w:val="left" w:pos="360" w:leader="none"/>
        </w:tabs>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eastAsia="宋体" w:cs="宋体"/>
          <w:color w:val="000000"/>
          <w:sz w:val="24"/>
        </w:rPr>
        <w:t xml:space="preserve">被授权人联系电话：（手机）</w:t>
      </w:r>
      <w:r>
        <w:rPr>
          <w:rFonts w:eastAsia="Times New Roman"/>
          <w:color w:val="000000"/>
          <w:sz w:val="24"/>
          <w:u w:val="single"/>
        </w:rPr>
        <w:t xml:space="preserve">                         </w:t>
      </w:r>
      <w:r/>
    </w:p>
    <w:p>
      <w:pPr>
        <w:ind w:firstLine="1200"/>
        <w:jc w:val="both"/>
        <w:spacing w:before="240" w:after="240" w:line="360"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w:t>
      </w:r>
      <w:r>
        <w:rPr>
          <w:rFonts w:eastAsia="Times New Roman"/>
          <w:color w:val="000000"/>
          <w:sz w:val="24"/>
          <w:u w:val="single"/>
        </w:rPr>
        <w:t xml:space="preserve">CA</w:t>
      </w:r>
      <w:r>
        <w:rPr>
          <w:rFonts w:ascii="宋体" w:hAnsi="宋体" w:eastAsia="宋体" w:cs="宋体"/>
          <w:color w:val="000000"/>
          <w:sz w:val="24"/>
          <w:u w:val="single"/>
        </w:rPr>
        <w:t xml:space="preserve">电子公章）</w:t>
      </w:r>
      <w:r/>
    </w:p>
    <w:p>
      <w:pPr>
        <w:ind w:firstLine="480"/>
        <w:jc w:val="both"/>
        <w:spacing w:before="240" w:after="240" w:line="360" w:lineRule="atLeast"/>
        <w:tabs>
          <w:tab w:val="left" w:pos="360" w:leader="none"/>
        </w:tabs>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eastAsia="宋体" w:cs="宋体"/>
          <w:color w:val="000000"/>
          <w:sz w:val="24"/>
        </w:rPr>
        <w:t xml:space="preserve">单位地址：</w:t>
      </w:r>
      <w:r>
        <w:rPr>
          <w:rFonts w:eastAsia="Times New Roman"/>
          <w:color w:val="000000"/>
          <w:sz w:val="24"/>
          <w:u w:val="single"/>
        </w:rPr>
        <w:t xml:space="preserve">                                        </w:t>
      </w:r>
      <w:r/>
    </w:p>
    <w:p>
      <w:pPr>
        <w:ind w:firstLine="480"/>
        <w:jc w:val="both"/>
        <w:spacing w:before="240" w:after="240" w:line="360" w:lineRule="atLeast"/>
        <w:tabs>
          <w:tab w:val="left" w:pos="360" w:leader="none"/>
        </w:tabs>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rPr>
          <w:rFonts w:ascii="宋体" w:hAnsi="宋体" w:eastAsia="宋体" w:cs="宋体"/>
          <w:color w:val="000000"/>
          <w:sz w:val="24"/>
        </w:rPr>
        <w:t xml:space="preserve">日期：</w:t>
      </w:r>
      <w:r>
        <w:rPr>
          <w:rFonts w:eastAsia="Times New Roman"/>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rPr>
        <w:t xml:space="preserve">法定代表人及被授权人身份证正反面：</w:t>
      </w:r>
      <w:r/>
    </w:p>
    <w:p>
      <w:pPr>
        <w:pBdr>
          <w:top w:val="none" w:color="000000" w:sz="0" w:space="0"/>
          <w:left w:val="none" w:color="000000" w:sz="0" w:space="0"/>
          <w:bottom w:val="none" w:color="000000" w:sz="0" w:space="0"/>
          <w:right w:val="none" w:color="000000" w:sz="0" w:space="0"/>
        </w:pBdr>
      </w:pPr>
      <w:r>
        <w:br w:type="page" w:clear="all"/>
      </w:r>
      <w:r/>
    </w:p>
    <w:p>
      <w:pPr>
        <w:ind w:firstLine="3390"/>
        <w:jc w:val="both"/>
        <w:spacing w:before="260" w:after="260" w:line="98"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八、投标函</w:t>
      </w:r>
      <w:r/>
    </w:p>
    <w:p>
      <w:pPr>
        <w:ind w:firstLine="420"/>
        <w:spacing w:before="240" w:after="240" w:line="36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w:t>
      </w:r>
      <w:r>
        <w:rPr>
          <w:rFonts w:hint="eastAsia" w:ascii="宋体" w:hAnsi="宋体" w:eastAsia="宋体" w:cs="宋体"/>
          <w:color w:val="000000"/>
          <w:sz w:val="24"/>
        </w:rPr>
        <w:t xml:space="preserve">盐城市发展和改革委员会</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b/>
          <w:color w:val="000000"/>
          <w:sz w:val="36"/>
          <w:u w:val="single"/>
        </w:rPr>
        <w:t xml:space="preserve">           </w:t>
      </w:r>
      <w:r>
        <w:rPr>
          <w:rFonts w:ascii="宋体" w:hAnsi="宋体" w:eastAsia="宋体" w:cs="宋体"/>
          <w:color w:val="000000"/>
          <w:sz w:val="24"/>
        </w:rPr>
        <w:t xml:space="preserve">号招标文件，正式授权下述签字人_________________(姓名)代表我方______________（投标人的名称），全权处理本次项目投标的有关事宜。</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firstLine="480"/>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    址：</w:t>
      </w:r>
      <w:r/>
    </w:p>
    <w:p>
      <w:pPr>
        <w:ind w:left="420"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    编：</w:t>
      </w:r>
      <w:r/>
    </w:p>
    <w:p>
      <w:pPr>
        <w:ind w:left="420"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    话：</w:t>
      </w:r>
      <w:r/>
    </w:p>
    <w:p>
      <w:pPr>
        <w:ind w:left="420"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    真：</w:t>
      </w:r>
      <w:r/>
    </w:p>
    <w:p>
      <w:pPr>
        <w:ind w:left="420"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    号： </w:t>
      </w:r>
      <w:r/>
    </w:p>
    <w:p>
      <w:pPr>
        <w:ind w:left="420"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期：________年____月____ </w:t>
      </w:r>
      <w:r>
        <w:rPr>
          <w:rFonts w:ascii="宋体" w:hAnsi="宋体" w:eastAsia="宋体" w:cs="宋体"/>
          <w:sz w:val="24"/>
        </w:rPr>
        <w:t xml:space="preserve">日</w:t>
      </w:r>
      <w:r/>
    </w:p>
    <w:p>
      <w:pPr>
        <w:ind w:firstLine="240"/>
        <w:jc w:val="center"/>
        <w:spacing w:before="240" w:after="240" w:line="36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240"/>
        <w:jc w:val="center"/>
        <w:spacing w:before="240" w:after="240" w:line="360" w:lineRule="atLeast"/>
        <w:pBdr>
          <w:top w:val="none" w:color="000000" w:sz="0" w:space="0"/>
          <w:left w:val="none" w:color="000000" w:sz="0" w:space="0"/>
          <w:bottom w:val="none" w:color="000000" w:sz="0" w:space="0"/>
          <w:right w:val="none" w:color="000000" w:sz="0" w:space="0"/>
        </w:pBdr>
      </w:pPr>
      <w:r/>
      <w:r/>
    </w:p>
    <w:p>
      <w:pPr>
        <w:jc w:val="center"/>
        <w:spacing w:line="558"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九、中小企业声明函（货物）</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 号）的规定，本公司（联合体）参加</w:t>
      </w:r>
      <w:r>
        <w:rPr>
          <w:rFonts w:ascii="宋体" w:hAnsi="宋体" w:eastAsia="宋体" w:cs="宋体"/>
          <w:i/>
          <w:color w:val="000000"/>
          <w:sz w:val="24"/>
          <w:u w:val="single"/>
        </w:rPr>
        <w:t xml:space="preserve">（单位名称）</w:t>
      </w:r>
      <w:r>
        <w:rPr>
          <w:rFonts w:ascii="宋体" w:hAnsi="宋体" w:eastAsia="宋体" w:cs="宋体"/>
          <w:color w:val="000000"/>
          <w:sz w:val="24"/>
        </w:rPr>
        <w:t xml:space="preserve">的</w:t>
      </w:r>
      <w:r>
        <w:rPr>
          <w:rFonts w:hint="eastAsia"/>
          <w:sz w:val="24"/>
        </w:rPr>
        <w:t xml:space="preserve">采购编号为</w:t>
      </w:r>
      <w:r>
        <w:rPr>
          <w:rFonts w:hint="eastAsia"/>
          <w:i/>
          <w:iCs/>
          <w:sz w:val="24"/>
          <w:u w:val="single"/>
        </w:rPr>
        <w:t xml:space="preserve">（项目编号）</w:t>
      </w:r>
      <w:r>
        <w:rPr>
          <w:rFonts w:hint="eastAsia" w:ascii="宋体" w:hAnsi="宋体" w:eastAsia="宋体" w:cs="宋体"/>
          <w:iCs/>
          <w:color w:val="000000"/>
          <w:sz w:val="24"/>
        </w:rPr>
        <w:t xml:space="preserve">的</w:t>
      </w:r>
      <w:r>
        <w:rPr>
          <w:rFonts w:ascii="宋体" w:hAnsi="宋体" w:eastAsia="宋体" w:cs="宋体"/>
          <w:i/>
          <w:color w:val="000000"/>
          <w:sz w:val="24"/>
          <w:u w:val="single"/>
        </w:rPr>
        <w:t xml:space="preserve">（项目名称）</w:t>
      </w:r>
      <w:r>
        <w:rPr>
          <w:rFonts w:ascii="宋体" w:hAnsi="宋体" w:eastAsia="宋体" w:cs="宋体"/>
          <w:color w:val="000000"/>
          <w:sz w:val="24"/>
        </w:rPr>
        <w:t xml:space="preserve">采购活动，提供的货物全部由符合政策要求的中小企业制造。相关企业（含联合体中的中小企业、签订分包意向协议的中小企业）的具体情况如下：</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i/>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i/>
          <w:color w:val="000000"/>
          <w:sz w:val="24"/>
          <w:u w:val="single"/>
        </w:rPr>
        <w:t xml:space="preserve">（采购文件中明确的所属行业）</w:t>
      </w:r>
      <w:r>
        <w:rPr>
          <w:rFonts w:ascii="宋体" w:hAnsi="宋体" w:eastAsia="宋体" w:cs="宋体"/>
          <w:color w:val="000000"/>
          <w:sz w:val="24"/>
        </w:rPr>
        <w:t xml:space="preserve">行业；制造商为</w:t>
      </w:r>
      <w:r>
        <w:rPr>
          <w:rFonts w:ascii="宋体" w:hAnsi="宋体" w:eastAsia="宋体" w:cs="宋体"/>
          <w:i/>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i/>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i/>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i/>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i/>
          <w:color w:val="000000"/>
          <w:sz w:val="24"/>
          <w:u w:val="single"/>
        </w:rPr>
        <w:t xml:space="preserve">（中型企业、小型企业、微型企业）</w:t>
      </w:r>
      <w:r>
        <w:rPr>
          <w:rFonts w:ascii="宋体" w:hAnsi="宋体" w:eastAsia="宋体" w:cs="宋体"/>
          <w:color w:val="000000"/>
          <w:sz w:val="24"/>
        </w:rPr>
        <w:t xml:space="preserve">；</w:t>
      </w:r>
      <w:r/>
    </w:p>
    <w:p>
      <w:pPr>
        <w:numPr>
          <w:ilvl w:val="0"/>
          <w:numId w:val="1"/>
        </w:numPr>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24"/>
          <w:u w:val="single"/>
        </w:rPr>
        <w:t xml:space="preserve">（标的名称） </w:t>
      </w:r>
      <w:r>
        <w:rPr>
          <w:rFonts w:ascii="宋体" w:hAnsi="宋体" w:eastAsia="宋体" w:cs="宋体"/>
          <w:color w:val="000000"/>
          <w:sz w:val="24"/>
        </w:rPr>
        <w:t xml:space="preserve">，属于</w:t>
      </w:r>
      <w:r>
        <w:rPr>
          <w:rFonts w:ascii="宋体" w:hAnsi="宋体" w:eastAsia="宋体" w:cs="宋体"/>
          <w:i/>
          <w:color w:val="000000"/>
          <w:sz w:val="24"/>
          <w:u w:val="single"/>
        </w:rPr>
        <w:t xml:space="preserve">（采购文件中明确的所属行业）</w:t>
      </w:r>
      <w:r>
        <w:rPr>
          <w:rFonts w:ascii="宋体" w:hAnsi="宋体" w:eastAsia="宋体" w:cs="宋体"/>
          <w:color w:val="000000"/>
          <w:sz w:val="24"/>
        </w:rPr>
        <w:t xml:space="preserve">行业；制造商为</w:t>
      </w:r>
      <w:r>
        <w:rPr>
          <w:rFonts w:ascii="宋体" w:hAnsi="宋体" w:eastAsia="宋体" w:cs="宋体"/>
          <w:i/>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i/>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i/>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i/>
          <w:color w:val="000000"/>
          <w:sz w:val="24"/>
          <w:u w:val="single"/>
        </w:rPr>
        <w:t xml:space="preserve">        </w:t>
      </w:r>
      <w:r>
        <w:rPr>
          <w:rFonts w:ascii="宋体" w:hAnsi="宋体" w:eastAsia="宋体" w:cs="宋体"/>
          <w:color w:val="000000"/>
          <w:sz w:val="24"/>
        </w:rPr>
        <w:t xml:space="preserve">万元，属于</w:t>
      </w:r>
      <w:r>
        <w:rPr>
          <w:rFonts w:ascii="宋体" w:hAnsi="宋体" w:eastAsia="宋体" w:cs="宋体"/>
          <w:i/>
          <w:color w:val="000000"/>
          <w:sz w:val="24"/>
          <w:u w:val="single"/>
        </w:rPr>
        <w:t xml:space="preserve">（中型企业、小型企业、微型企业）</w:t>
      </w:r>
      <w:r>
        <w:rPr>
          <w:rFonts w:ascii="宋体" w:hAnsi="宋体" w:eastAsia="宋体" w:cs="宋体"/>
          <w:color w:val="000000"/>
          <w:sz w:val="24"/>
        </w:rPr>
        <w:t xml:space="preserve">；</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firstLine="4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firstLine="40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企业名称（盖章）：</w:t>
      </w:r>
      <w:r/>
    </w:p>
    <w:p>
      <w:pPr>
        <w:ind w:firstLine="4080"/>
        <w:jc w:val="both"/>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firstLine="480"/>
        <w:jc w:val="both"/>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firstLine="480"/>
        <w:jc w:val="both"/>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备注1：从业人员、营业收入、资产总额填报上一年度数据，无上一年度数据的新成立企业可不填报。</w:t>
      </w:r>
      <w:r/>
    </w:p>
    <w:p>
      <w:pPr>
        <w:ind w:firstLine="480"/>
        <w:jc w:val="both"/>
        <w:spacing w:line="49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备注2：供应商如不提供此声明函，价格将不做相应扣除（如项目全面面向中小企业，则资格审查不通过）。</w:t>
      </w:r>
      <w:r/>
    </w:p>
    <w:p>
      <w:pPr>
        <w:spacing w:before="240" w:after="240" w:line="360" w:lineRule="atLeast"/>
        <w:pBdr>
          <w:top w:val="none" w:color="000000" w:sz="0" w:space="0"/>
          <w:left w:val="none" w:color="000000" w:sz="0" w:space="0"/>
          <w:bottom w:val="none" w:color="000000" w:sz="0" w:space="0"/>
          <w:right w:val="none" w:color="000000" w:sz="0" w:space="0"/>
        </w:pBdr>
      </w:pPr>
      <w:r>
        <w:rPr>
          <w:rFonts w:hint="eastAsia" w:ascii="黑体" w:hAnsi="宋体" w:eastAsia="黑体" w:cs="黑体"/>
          <w:b/>
          <w:sz w:val="32"/>
          <w:szCs w:val="32"/>
        </w:rPr>
        <w:br w:type="page" w:clear="all"/>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十、残疾人福利性单位声明函</w:t>
      </w:r>
      <w:r/>
    </w:p>
    <w:p>
      <w:pPr>
        <w:ind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项目采购活动提供本单位制造的货物，或者提供其他残疾人福利性单位制造的货物（不包括使用非残疾人福利性单位注册商标的货物）。</w:t>
      </w:r>
      <w:r/>
    </w:p>
    <w:p>
      <w:pPr>
        <w:ind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备注：1、供应商如不提供此声明函，价格将不做相应扣除（如项目全面面向中小企业，则资格审查不通过）。2、中标供应商为残疾人福利单位的，此声明函将随中标结果同时公告，接受社会监督</w:t>
      </w:r>
      <w:r/>
    </w:p>
    <w:p>
      <w:pPr>
        <w:ind w:firstLine="624"/>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right="1560" w:firstLine="624"/>
        <w:jc w:val="center"/>
        <w:spacing w:before="240" w:after="240" w:line="360" w:lineRule="atLeast"/>
        <w:tabs>
          <w:tab w:val="left" w:pos="486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rPr>
          <w:rFonts w:ascii="宋体" w:hAnsi="宋体" w:eastAsia="宋体" w:cs="宋体"/>
          <w:color w:val="000000"/>
          <w:sz w:val="24"/>
        </w:rPr>
        <w:t xml:space="preserve">供应商全称（加盖CA电子公章）：</w:t>
      </w:r>
      <w:r/>
    </w:p>
    <w:p>
      <w:pPr>
        <w:ind w:right="1560" w:firstLine="480"/>
        <w:jc w:val="center"/>
        <w:spacing w:before="240" w:after="240" w:line="360" w:lineRule="atLeast"/>
        <w:tabs>
          <w:tab w:val="left" w:pos="4864"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  期：</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center"/>
        <w:spacing w:before="240" w:after="240" w:line="360" w:lineRule="atLeast"/>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134" w:bottom="1134" w:left="1134" w:header="709" w:footer="709" w:gutter="0"/>
          <w:cols w:num="1" w:sep="0" w:space="1701" w:equalWidth="1"/>
          <w:docGrid w:linePitch="360"/>
        </w:sectPr>
      </w:pPr>
      <w:r>
        <w:rPr>
          <w:rFonts w:ascii="黑体" w:hAnsi="黑体" w:eastAsia="黑体" w:cs="黑体"/>
          <w:b/>
          <w:color w:val="000000"/>
          <w:sz w:val="32"/>
        </w:rPr>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bCs/>
          <w:i/>
          <w:color w:val="000000"/>
          <w:sz w:val="28"/>
          <w:szCs w:val="21"/>
          <w:u w:val="single"/>
        </w:rPr>
        <w:t xml:space="preserve">十</w:t>
      </w:r>
      <w:r>
        <w:rPr>
          <w:rFonts w:hint="eastAsia" w:ascii="宋体" w:hAnsi="宋体" w:eastAsia="宋体" w:cs="宋体"/>
          <w:b/>
          <w:bCs/>
          <w:i/>
          <w:color w:val="000000"/>
          <w:sz w:val="28"/>
          <w:szCs w:val="21"/>
          <w:u w:val="single"/>
        </w:rPr>
        <w:t xml:space="preserve">一</w:t>
      </w:r>
      <w:r>
        <w:rPr>
          <w:rFonts w:ascii="宋体" w:hAnsi="宋体" w:eastAsia="宋体" w:cs="宋体"/>
          <w:b/>
          <w:bCs/>
          <w:i/>
          <w:color w:val="000000"/>
          <w:sz w:val="28"/>
          <w:szCs w:val="21"/>
          <w:u w:val="single"/>
        </w:rPr>
        <w:t xml:space="preserve">、投标分项报价表</w:t>
      </w:r>
      <w:r/>
    </w:p>
    <w:tbl>
      <w:tblPr>
        <w:tblStyle w:val="685"/>
        <w:tblW w:w="4993" w:type="pct"/>
        <w:jc w:val="center"/>
        <w:tblLayout w:type="autofit"/>
        <w:tblCellMar>
          <w:left w:w="108" w:type="dxa"/>
          <w:top w:w="0" w:type="dxa"/>
          <w:right w:w="108" w:type="dxa"/>
          <w:bottom w:w="0" w:type="dxa"/>
        </w:tblCellMar>
        <w:tblLook w:val="04A0" w:firstRow="1" w:lastRow="0" w:firstColumn="1" w:lastColumn="0" w:noHBand="0" w:noVBand="1"/>
      </w:tblPr>
      <w:tblGrid>
        <w:gridCol w:w="437"/>
        <w:gridCol w:w="439"/>
        <w:gridCol w:w="885"/>
        <w:gridCol w:w="9418"/>
        <w:gridCol w:w="1554"/>
        <w:gridCol w:w="2032"/>
      </w:tblGrid>
      <w:tr>
        <w:trPr>
          <w:jc w:val="center"/>
          <w:trHeight w:val="930"/>
        </w:trPr>
        <w:tc>
          <w:tcPr>
            <w:shd w:val="clear" w:color="auto" w:fill="e6e6e6"/>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jc w:val="center"/>
              <w:rPr>
                <w:rFonts w:ascii="宋体" w:hAnsi="宋体" w:cs="宋体"/>
                <w:b/>
                <w:bCs/>
                <w:color w:val="000000"/>
                <w:sz w:val="22"/>
              </w:rPr>
            </w:pPr>
            <w:r>
              <w:rPr>
                <w:rFonts w:hint="eastAsia" w:ascii="宋体" w:hAnsi="宋体" w:cs="宋体"/>
                <w:b/>
                <w:bCs/>
                <w:color w:val="000000"/>
                <w:sz w:val="22"/>
                <w:lang w:bidi="ar"/>
              </w:rPr>
              <w:t xml:space="preserve">序号</w:t>
            </w:r>
            <w:r/>
          </w:p>
        </w:tc>
        <w:tc>
          <w:tcPr>
            <w:shd w:val="clear" w:color="auto" w:fill="e6e6e6"/>
            <w:tcBorders>
              <w:top w:val="single" w:color="000000" w:sz="4" w:space="0"/>
              <w:left w:val="single" w:color="000000" w:sz="4" w:space="0"/>
              <w:bottom w:val="single" w:color="000000" w:sz="4" w:space="0"/>
              <w:right w:val="single" w:color="000000" w:sz="4" w:space="0"/>
            </w:tcBorders>
            <w:tcW w:w="149" w:type="pct"/>
            <w:vAlign w:val="center"/>
            <w:textDirection w:val="lrTb"/>
            <w:noWrap w:val="false"/>
          </w:tcPr>
          <w:p>
            <w:pPr>
              <w:jc w:val="center"/>
              <w:rPr>
                <w:rFonts w:ascii="宋体" w:hAnsi="宋体" w:cs="宋体"/>
                <w:b/>
                <w:bCs/>
                <w:color w:val="000000"/>
                <w:sz w:val="22"/>
              </w:rPr>
            </w:pPr>
            <w:r>
              <w:rPr>
                <w:rFonts w:hint="eastAsia" w:ascii="宋体" w:hAnsi="宋体" w:cs="宋体"/>
                <w:b/>
                <w:bCs/>
                <w:color w:val="000000"/>
                <w:sz w:val="22"/>
                <w:lang w:bidi="ar"/>
              </w:rPr>
              <w:t xml:space="preserve">设备名称</w:t>
            </w:r>
            <w:r/>
          </w:p>
        </w:tc>
        <w:tc>
          <w:tcPr>
            <w:shd w:val="clear" w:color="auto" w:fill="e6e6e6"/>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rPr>
                <w:rFonts w:ascii="宋体" w:hAnsi="宋体" w:cs="宋体"/>
                <w:b/>
                <w:bCs/>
                <w:color w:val="000000"/>
                <w:sz w:val="22"/>
              </w:rPr>
            </w:pPr>
            <w:r>
              <w:rPr>
                <w:rFonts w:hint="eastAsia" w:ascii="宋体" w:hAnsi="宋体" w:cs="宋体"/>
                <w:b/>
                <w:bCs/>
                <w:color w:val="000000"/>
                <w:sz w:val="22"/>
                <w:lang w:bidi="ar"/>
              </w:rPr>
              <w:t xml:space="preserve">数量（套）</w:t>
            </w:r>
            <w:r/>
          </w:p>
        </w:tc>
        <w:tc>
          <w:tcPr>
            <w:shd w:val="clear" w:color="auto" w:fill="e6e6e6"/>
            <w:tcBorders>
              <w:top w:val="single" w:color="000000" w:sz="4" w:space="0"/>
              <w:left w:val="single" w:color="000000" w:sz="4" w:space="0"/>
              <w:bottom w:val="single" w:color="000000" w:sz="4" w:space="0"/>
              <w:right w:val="single" w:color="000000" w:sz="4" w:space="0"/>
            </w:tcBorders>
            <w:tcW w:w="3189" w:type="pct"/>
            <w:vAlign w:val="center"/>
            <w:textDirection w:val="lrTb"/>
            <w:noWrap w:val="false"/>
          </w:tcPr>
          <w:p>
            <w:pPr>
              <w:jc w:val="center"/>
              <w:rPr>
                <w:rFonts w:ascii="宋体" w:hAnsi="宋体" w:cs="宋体"/>
                <w:b/>
                <w:bCs/>
                <w:color w:val="000000"/>
                <w:sz w:val="22"/>
              </w:rPr>
            </w:pPr>
            <w:r>
              <w:rPr>
                <w:rFonts w:hint="eastAsia" w:ascii="宋体" w:hAnsi="宋体" w:cs="宋体"/>
                <w:b/>
                <w:bCs/>
                <w:color w:val="000000"/>
                <w:sz w:val="22"/>
                <w:lang w:bidi="ar"/>
              </w:rPr>
              <w:t xml:space="preserve">功能及参数说明</w:t>
            </w:r>
            <w:r/>
          </w:p>
        </w:tc>
        <w:tc>
          <w:tcPr>
            <w:shd w:val="clear" w:color="auto" w:fill="e6e6e6"/>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单价（元）</w:t>
            </w:r>
            <w:r/>
          </w:p>
        </w:tc>
        <w:tc>
          <w:tcPr>
            <w:shd w:val="clear" w:color="auto" w:fill="e6e6e6"/>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rPr>
                <w:rFonts w:ascii="宋体" w:hAnsi="宋体" w:cs="宋体"/>
                <w:b/>
                <w:bCs/>
                <w:color w:val="000000"/>
                <w:sz w:val="22"/>
                <w:lang w:bidi="ar"/>
              </w:rPr>
            </w:pPr>
            <w:r>
              <w:rPr>
                <w:rFonts w:hint="eastAsia" w:ascii="宋体" w:hAnsi="宋体" w:cs="宋体"/>
                <w:b/>
                <w:bCs/>
                <w:color w:val="000000"/>
                <w:sz w:val="22"/>
                <w:lang w:bidi="ar"/>
              </w:rPr>
              <w:t xml:space="preserve">合价（元）</w:t>
            </w:r>
            <w:r/>
          </w:p>
        </w:tc>
      </w:tr>
      <w:tr>
        <w:trPr>
          <w:jc w:val="center"/>
          <w:trHeight w:val="375"/>
        </w:trPr>
        <w:tc>
          <w:tcPr>
            <w:gridSpan w:val="4"/>
            <w:shd w:val="clear" w:color="auto" w:fill="ffffff"/>
            <w:tcBorders>
              <w:top w:val="single" w:color="000000" w:sz="4" w:space="0"/>
              <w:left w:val="single" w:color="000000" w:sz="4" w:space="0"/>
              <w:bottom w:val="single" w:color="000000" w:sz="4" w:space="0"/>
              <w:right w:val="single" w:color="000000" w:sz="4" w:space="0"/>
            </w:tcBorders>
            <w:tcW w:w="3785" w:type="pct"/>
            <w:vAlign w:val="center"/>
            <w:textDirection w:val="lrTb"/>
            <w:noWrap w:val="false"/>
          </w:tcPr>
          <w:p>
            <w:pPr>
              <w:jc w:val="center"/>
              <w:rPr>
                <w:rFonts w:ascii="宋体" w:hAnsi="宋体" w:cs="宋体"/>
                <w:b/>
                <w:bCs/>
                <w:color w:val="000000"/>
                <w:sz w:val="22"/>
              </w:rPr>
            </w:pPr>
            <w:r>
              <w:rPr>
                <w:rFonts w:hint="eastAsia" w:ascii="宋体" w:hAnsi="宋体" w:cs="宋体"/>
                <w:b/>
                <w:bCs/>
                <w:color w:val="000000"/>
                <w:sz w:val="22"/>
                <w:lang w:bidi="ar"/>
              </w:rPr>
              <w:t xml:space="preserve">一、电声警报一体机</w:t>
            </w:r>
            <w:r/>
          </w:p>
        </w:tc>
        <w:tc>
          <w:tcPr>
            <w:shd w:val="clear" w:color="auto" w:fill="ffffff"/>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jc w:val="center"/>
              <w:rPr>
                <w:rFonts w:ascii="宋体" w:hAnsi="宋体" w:cs="宋体"/>
                <w:b/>
                <w:bCs/>
                <w:color w:val="000000"/>
                <w:sz w:val="22"/>
                <w:lang w:bidi="ar"/>
              </w:rPr>
            </w:pPr>
            <w:r>
              <w:rPr>
                <w:rFonts w:ascii="宋体" w:hAnsi="宋体" w:cs="宋体"/>
                <w:b/>
                <w:bCs/>
                <w:color w:val="000000"/>
                <w:sz w:val="22"/>
                <w:lang w:bidi="ar"/>
              </w:rPr>
            </w:r>
            <w:r/>
          </w:p>
        </w:tc>
      </w:tr>
      <w:tr>
        <w:trPr>
          <w:jc w:val="center"/>
          <w:trHeight w:val="6585"/>
        </w:trPr>
        <w:tc>
          <w:tcPr>
            <w:shd w:val="clear" w:color="auto" w:fill="ffffff"/>
            <w:tcBorders>
              <w:top w:val="single" w:color="000000" w:sz="4" w:space="0"/>
              <w:left w:val="single" w:color="000000" w:sz="4" w:space="0"/>
              <w:bottom w:val="none" w:color="000000" w:sz="4" w:space="0"/>
              <w:right w:val="single" w:color="000000" w:sz="4" w:space="0"/>
            </w:tcBorders>
            <w:tcW w:w="147"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ffffff"/>
            <w:tcBorders>
              <w:top w:val="single" w:color="000000" w:sz="4" w:space="0"/>
              <w:left w:val="single" w:color="000000" w:sz="4" w:space="0"/>
              <w:bottom w:val="none" w:color="000000" w:sz="4" w:space="0"/>
              <w:right w:val="single" w:color="000000" w:sz="4" w:space="0"/>
            </w:tcBorders>
            <w:tcW w:w="149"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主机</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20套</w:t>
            </w:r>
            <w:r/>
          </w:p>
        </w:tc>
        <w:tc>
          <w:tcPr>
            <w:tcBorders>
              <w:top w:val="single" w:color="000000" w:sz="4" w:space="0"/>
              <w:left w:val="single" w:color="000000" w:sz="4" w:space="0"/>
              <w:bottom w:val="none" w:color="000000" w:sz="4" w:space="0"/>
              <w:right w:val="single" w:color="000000" w:sz="4" w:space="0"/>
            </w:tcBorders>
            <w:tcW w:w="3189"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1、电声警报一体机必须符合《人民防空警报控制系统通用要求》(RFHB 03-2014)、《人民防空警报控制系统用抗干扰无线数字传输单元通用规范》(RFHB05-2014) 要求，能与盐城市现有警报控制系统完全兼容。</w:t>
            </w:r>
            <w:r>
              <w:rPr>
                <w:rFonts w:hint="eastAsia" w:ascii="宋体" w:hAnsi="宋体" w:cs="宋体"/>
                <w:color w:val="000000"/>
                <w:sz w:val="22"/>
                <w:lang w:bidi="ar"/>
              </w:rPr>
              <w:br/>
            </w:r>
            <w:r>
              <w:rPr>
                <w:rFonts w:hint="eastAsia" w:ascii="宋体" w:hAnsi="宋体" w:cs="宋体"/>
                <w:color w:val="000000"/>
                <w:sz w:val="22"/>
                <w:lang w:bidi="ar"/>
              </w:rPr>
              <w:t xml:space="preserve">2、信号源:预先警报、防空袭警报、解除警报、灾害警报;控制方式:满足多种控制方式:配有音源输入口，可用DC48电瓶供电，内置监听器;</w:t>
            </w:r>
            <w:r>
              <w:rPr>
                <w:rFonts w:hint="eastAsia" w:ascii="宋体" w:hAnsi="宋体" w:cs="宋体"/>
                <w:color w:val="000000"/>
                <w:sz w:val="22"/>
                <w:lang w:bidi="ar"/>
              </w:rPr>
              <w:br/>
            </w:r>
            <w:r>
              <w:rPr>
                <w:rFonts w:hint="eastAsia" w:ascii="宋体" w:hAnsi="宋体" w:cs="宋体"/>
                <w:color w:val="000000"/>
                <w:sz w:val="22"/>
                <w:lang w:bidi="ar"/>
              </w:rPr>
              <w:t xml:space="preserve">3、各项技术标准应当符合国家人防办颁发的标准及各项规范要求:国家没有相应标准、规范的，可使用行业规定的质量、规格和性能的要求。</w:t>
            </w:r>
            <w:r>
              <w:rPr>
                <w:rFonts w:hint="eastAsia" w:ascii="宋体" w:hAnsi="宋体" w:cs="宋体"/>
                <w:color w:val="000000"/>
                <w:sz w:val="22"/>
                <w:lang w:bidi="ar"/>
              </w:rPr>
              <w:br/>
            </w:r>
            <w:r>
              <w:rPr>
                <w:rFonts w:hint="eastAsia" w:ascii="宋体" w:hAnsi="宋体" w:cs="宋体"/>
                <w:color w:val="000000"/>
                <w:sz w:val="22"/>
                <w:lang w:bidi="ar"/>
              </w:rPr>
              <w:t xml:space="preserve">4、设备必须采用符合《人民防空警报控制系统用抗干扰无线数字传输单元通用规范》(FHB 05-2014) 的数字电台。</w:t>
            </w:r>
            <w:r>
              <w:rPr>
                <w:rFonts w:hint="eastAsia" w:ascii="宋体" w:hAnsi="宋体" w:cs="宋体"/>
                <w:color w:val="000000"/>
                <w:sz w:val="22"/>
                <w:lang w:bidi="ar"/>
              </w:rPr>
              <w:br/>
            </w:r>
            <w:r>
              <w:rPr>
                <w:rFonts w:hint="eastAsia" w:ascii="宋体" w:hAnsi="宋体" w:cs="宋体"/>
                <w:color w:val="000000"/>
                <w:sz w:val="22"/>
                <w:lang w:bidi="ar"/>
              </w:rPr>
              <w:t xml:space="preserve">5、额定工作电压: 220士15% 50Hz士lHz;</w:t>
            </w:r>
            <w:r>
              <w:rPr>
                <w:rFonts w:hint="eastAsia" w:ascii="宋体" w:hAnsi="宋体" w:cs="宋体"/>
                <w:color w:val="000000"/>
                <w:sz w:val="22"/>
                <w:lang w:bidi="ar"/>
              </w:rPr>
              <w:br/>
            </w:r>
            <w:r>
              <w:rPr>
                <w:rFonts w:hint="eastAsia" w:ascii="宋体" w:hAnsi="宋体" w:cs="宋体"/>
                <w:color w:val="000000"/>
                <w:sz w:val="22"/>
                <w:lang w:bidi="ar"/>
              </w:rPr>
              <w:t xml:space="preserve">输出额定阻抗: 8</w:t>
            </w:r>
            <w:r>
              <w:rPr>
                <w:rFonts w:hint="eastAsia" w:ascii="宋体" w:hAnsi="宋体"/>
                <w:color w:val="000000"/>
                <w:szCs w:val="21"/>
              </w:rPr>
              <w:t xml:space="preserve">Ω</w:t>
            </w:r>
            <w:r>
              <w:rPr>
                <w:rFonts w:hint="eastAsia" w:ascii="宋体" w:hAnsi="宋体" w:cs="宋体"/>
                <w:color w:val="000000"/>
                <w:sz w:val="22"/>
                <w:lang w:bidi="ar"/>
              </w:rPr>
              <w:t xml:space="preserve">X4;</w:t>
            </w:r>
            <w:r>
              <w:rPr>
                <w:rFonts w:hint="eastAsia" w:ascii="宋体" w:hAnsi="宋体" w:cs="宋体"/>
                <w:color w:val="000000"/>
                <w:sz w:val="22"/>
                <w:lang w:bidi="ar"/>
              </w:rPr>
              <w:br/>
            </w:r>
            <w:r>
              <w:rPr>
                <w:rFonts w:hint="eastAsia" w:ascii="宋体" w:hAnsi="宋体" w:cs="宋体"/>
                <w:color w:val="000000"/>
                <w:sz w:val="22"/>
                <w:lang w:bidi="ar"/>
              </w:rPr>
              <w:t xml:space="preserve">输出功率:四路输出，单路≥400W， 总功率≥2000W;</w:t>
            </w:r>
            <w:r>
              <w:rPr>
                <w:rFonts w:hint="eastAsia" w:ascii="宋体" w:hAnsi="宋体" w:cs="宋体"/>
                <w:color w:val="000000"/>
                <w:sz w:val="22"/>
                <w:lang w:bidi="ar"/>
              </w:rPr>
              <w:br/>
            </w:r>
            <w:r>
              <w:rPr>
                <w:rFonts w:hint="eastAsia" w:ascii="宋体" w:hAnsi="宋体" w:cs="宋体"/>
                <w:color w:val="000000"/>
                <w:sz w:val="22"/>
                <w:lang w:bidi="ar"/>
              </w:rPr>
              <w:t xml:space="preserve">频率范围: 250Hz 4000Hz;</w:t>
            </w:r>
            <w:r>
              <w:rPr>
                <w:rFonts w:hint="eastAsia" w:ascii="宋体" w:hAnsi="宋体" w:cs="宋体"/>
                <w:color w:val="000000"/>
                <w:sz w:val="22"/>
                <w:lang w:bidi="ar"/>
              </w:rPr>
              <w:br/>
            </w:r>
            <w:r>
              <w:rPr>
                <w:rFonts w:hint="eastAsia" w:ascii="宋体" w:hAnsi="宋体" w:cs="微软雅黑"/>
                <w:color w:val="000000"/>
                <w:sz w:val="22"/>
                <w:lang w:bidi="ar"/>
              </w:rPr>
              <w:t xml:space="preserve">抗同频干扰</w:t>
            </w:r>
            <w:r>
              <w:rPr>
                <w:rFonts w:hint="eastAsia" w:ascii="宋体" w:hAnsi="宋体" w:cs="宋体"/>
                <w:color w:val="000000"/>
                <w:sz w:val="22"/>
                <w:lang w:bidi="ar"/>
              </w:rPr>
              <w:t xml:space="preserve">:≥3dB (600bit/s, </w:t>
            </w:r>
            <w:r>
              <w:rPr>
                <w:rFonts w:hint="eastAsia" w:ascii="宋体" w:hAnsi="宋体" w:cs="微软雅黑"/>
                <w:color w:val="000000"/>
                <w:sz w:val="22"/>
                <w:lang w:bidi="ar"/>
              </w:rPr>
              <w:t xml:space="preserve">丢包率为</w:t>
            </w:r>
            <w:r>
              <w:rPr>
                <w:rFonts w:hint="eastAsia" w:ascii="宋体" w:hAnsi="宋体" w:cs="宋体"/>
                <w:color w:val="000000"/>
                <w:sz w:val="22"/>
              </w:rPr>
              <w:t xml:space="preserve">5X 10</w:t>
            </w:r>
            <w:r>
              <w:rPr>
                <w:rFonts w:hint="eastAsia" w:ascii="宋体" w:hAnsi="宋体" w:cs="宋体"/>
                <w:color w:val="000000"/>
                <w:sz w:val="22"/>
                <w:vertAlign w:val="superscript"/>
              </w:rPr>
              <w:t xml:space="preserve">-2</w:t>
            </w:r>
            <w:r>
              <w:rPr>
                <w:rFonts w:hint="eastAsia" w:ascii="宋体" w:hAnsi="宋体" w:cs="宋体"/>
                <w:color w:val="000000"/>
                <w:sz w:val="22"/>
                <w:lang w:bidi="ar"/>
              </w:rPr>
              <w:t xml:space="preserve">):</w:t>
            </w:r>
            <w:r>
              <w:rPr>
                <w:rFonts w:hint="eastAsia" w:ascii="宋体" w:hAnsi="宋体" w:cs="宋体"/>
                <w:color w:val="000000"/>
                <w:sz w:val="22"/>
                <w:lang w:bidi="ar"/>
              </w:rPr>
              <w:br/>
            </w:r>
            <w:r>
              <w:rPr>
                <w:rFonts w:hint="eastAsia" w:ascii="宋体" w:hAnsi="宋体" w:cs="微软雅黑"/>
                <w:color w:val="000000"/>
                <w:sz w:val="22"/>
                <w:lang w:bidi="ar"/>
              </w:rPr>
              <w:t xml:space="preserve">抗单频干扰</w:t>
            </w:r>
            <w:r>
              <w:rPr>
                <w:rFonts w:hint="eastAsia" w:ascii="宋体" w:hAnsi="宋体" w:cs="宋体"/>
                <w:color w:val="000000"/>
                <w:sz w:val="22"/>
                <w:lang w:bidi="ar"/>
              </w:rPr>
              <w:t xml:space="preserve">:≥3dB (600bit/s, </w:t>
            </w:r>
            <w:r>
              <w:rPr>
                <w:rFonts w:hint="eastAsia" w:ascii="宋体" w:hAnsi="宋体" w:cs="微软雅黑"/>
                <w:color w:val="000000"/>
                <w:sz w:val="22"/>
                <w:lang w:bidi="ar"/>
              </w:rPr>
              <w:t xml:space="preserve">丢包率为</w:t>
            </w:r>
            <w:r>
              <w:rPr>
                <w:rFonts w:hint="eastAsia" w:ascii="宋体" w:hAnsi="宋体" w:cs="宋体"/>
                <w:color w:val="000000"/>
                <w:sz w:val="22"/>
              </w:rPr>
              <w:t xml:space="preserve">5X 10</w:t>
            </w:r>
            <w:r>
              <w:rPr>
                <w:rFonts w:hint="eastAsia" w:ascii="宋体" w:hAnsi="宋体" w:cs="宋体"/>
                <w:color w:val="000000"/>
                <w:sz w:val="22"/>
                <w:vertAlign w:val="superscript"/>
              </w:rPr>
              <w:t xml:space="preserve">-2</w:t>
            </w:r>
            <w:r>
              <w:rPr>
                <w:rFonts w:hint="eastAsia" w:ascii="宋体" w:hAnsi="宋体" w:cs="宋体"/>
                <w:color w:val="000000"/>
                <w:sz w:val="22"/>
                <w:lang w:bidi="ar"/>
              </w:rPr>
              <w:t xml:space="preserve">):</w:t>
            </w:r>
            <w:r>
              <w:rPr>
                <w:rFonts w:hint="eastAsia" w:ascii="宋体" w:hAnsi="宋体" w:cs="宋体"/>
                <w:color w:val="000000"/>
                <w:sz w:val="22"/>
                <w:lang w:bidi="ar"/>
              </w:rPr>
              <w:br/>
            </w:r>
            <w:r>
              <w:rPr>
                <w:rFonts w:hint="eastAsia" w:ascii="宋体" w:hAnsi="宋体" w:cs="微软雅黑"/>
                <w:color w:val="000000"/>
                <w:sz w:val="22"/>
                <w:lang w:bidi="ar"/>
              </w:rPr>
              <w:t xml:space="preserve">抗白噪声干扰性能</w:t>
            </w:r>
            <w:r>
              <w:rPr>
                <w:rFonts w:hint="eastAsia" w:ascii="宋体" w:hAnsi="宋体" w:cs="宋体"/>
                <w:color w:val="000000"/>
                <w:sz w:val="22"/>
                <w:lang w:bidi="ar"/>
              </w:rPr>
              <w:t xml:space="preserve">:≥3dB (600bit/s,丢</w:t>
            </w:r>
            <w:r>
              <w:rPr>
                <w:rFonts w:hint="eastAsia" w:ascii="宋体" w:hAnsi="宋体" w:cs="微软雅黑"/>
                <w:color w:val="000000"/>
                <w:sz w:val="22"/>
                <w:lang w:bidi="ar"/>
              </w:rPr>
              <w:t xml:space="preserve">包率为</w:t>
            </w:r>
            <w:r>
              <w:rPr>
                <w:rFonts w:hint="eastAsia" w:ascii="宋体" w:hAnsi="宋体" w:cs="宋体"/>
                <w:color w:val="000000"/>
                <w:sz w:val="22"/>
              </w:rPr>
              <w:t xml:space="preserve">5X 10</w:t>
            </w:r>
            <w:r>
              <w:rPr>
                <w:rFonts w:hint="eastAsia" w:ascii="宋体" w:hAnsi="宋体" w:cs="宋体"/>
                <w:color w:val="000000"/>
                <w:sz w:val="22"/>
                <w:vertAlign w:val="superscript"/>
              </w:rPr>
              <w:t xml:space="preserve">-2</w:t>
            </w:r>
            <w:r>
              <w:rPr>
                <w:rFonts w:hint="eastAsia" w:ascii="宋体" w:hAnsi="宋体" w:cs="宋体"/>
                <w:color w:val="000000"/>
                <w:sz w:val="22"/>
                <w:lang w:bidi="ar"/>
              </w:rPr>
              <w:t xml:space="preserve">)</w:t>
            </w:r>
            <w:r>
              <w:rPr>
                <w:rFonts w:hint="eastAsia" w:ascii="宋体" w:hAnsi="宋体" w:cs="宋体"/>
                <w:color w:val="000000"/>
                <w:sz w:val="22"/>
                <w:lang w:bidi="ar"/>
              </w:rPr>
              <w:br/>
            </w:r>
            <w:r>
              <w:rPr>
                <w:rFonts w:hint="eastAsia" w:ascii="宋体" w:hAnsi="宋体" w:cs="宋体"/>
                <w:color w:val="000000"/>
                <w:sz w:val="22"/>
                <w:lang w:bidi="ar"/>
              </w:rPr>
              <w:t xml:space="preserve">6、</w:t>
            </w:r>
            <w:r>
              <w:rPr>
                <w:rFonts w:hint="eastAsia" w:ascii="宋体" w:hAnsi="宋体" w:cs="微软雅黑"/>
                <w:color w:val="000000"/>
                <w:sz w:val="22"/>
                <w:lang w:bidi="ar"/>
              </w:rPr>
              <w:t xml:space="preserve">设备必须具备双系统防误鸣功能:能够基于警报控制系统的通信网络，自动控制警报器自动上电、关电及警报器误鸣检测，可对现有警报控制系统的进行补充可极大降低或杜绝警报误鸣，同时便于管理，上电断电及时，时效高，反应快速快。</w:t>
            </w:r>
            <w:r>
              <w:rPr>
                <w:rFonts w:hint="eastAsia" w:ascii="宋体" w:hAnsi="宋体" w:cs="微软雅黑"/>
                <w:color w:val="0000ff"/>
                <w:sz w:val="22"/>
                <w:lang w:bidi="ar"/>
              </w:rPr>
              <w:br/>
            </w:r>
            <w:r>
              <w:rPr>
                <w:rFonts w:hint="eastAsia" w:ascii="宋体" w:hAnsi="宋体" w:cs="宋体"/>
                <w:color w:val="000000"/>
                <w:sz w:val="22"/>
                <w:lang w:bidi="ar"/>
              </w:rPr>
              <w:t xml:space="preserve">以上提供技术支持资料(如白皮书、彩页、手册、检测报告等)</w:t>
            </w:r>
            <w:r/>
          </w:p>
        </w:tc>
        <w:tc>
          <w:tcPr>
            <w:tcBorders>
              <w:top w:val="single" w:color="000000" w:sz="4" w:space="0"/>
              <w:left w:val="single" w:color="000000" w:sz="4" w:space="0"/>
              <w:bottom w:val="none" w:color="000000" w:sz="4" w:space="0"/>
              <w:right w:val="single" w:color="000000" w:sz="4" w:space="0"/>
            </w:tcBorders>
            <w:tcW w:w="526" w:type="pct"/>
            <w:vAlign w:val="center"/>
            <w:textDirection w:val="lrTb"/>
            <w:noWrap w:val="false"/>
          </w:tcPr>
          <w:p>
            <w:pPr>
              <w:rPr>
                <w:rFonts w:ascii="宋体" w:hAnsi="宋体" w:cs="宋体"/>
                <w:color w:val="000000"/>
                <w:sz w:val="22"/>
                <w:lang w:bidi="ar"/>
              </w:rPr>
            </w:pPr>
            <w:r>
              <w:rPr>
                <w:rFonts w:ascii="宋体" w:hAnsi="宋体" w:cs="宋体"/>
                <w:color w:val="000000"/>
                <w:sz w:val="22"/>
                <w:lang w:bidi="ar"/>
              </w:rPr>
            </w:r>
            <w:r/>
          </w:p>
        </w:tc>
        <w:tc>
          <w:tcPr>
            <w:tcBorders>
              <w:top w:val="single" w:color="000000" w:sz="4" w:space="0"/>
              <w:left w:val="single" w:color="000000" w:sz="4" w:space="0"/>
              <w:bottom w:val="none" w:color="000000" w:sz="4" w:space="0"/>
              <w:right w:val="single" w:color="000000" w:sz="4" w:space="0"/>
            </w:tcBorders>
            <w:tcW w:w="688" w:type="pct"/>
            <w:vAlign w:val="center"/>
            <w:textDirection w:val="lrTb"/>
            <w:noWrap w:val="false"/>
          </w:tcPr>
          <w:p>
            <w:pPr>
              <w:rPr>
                <w:rFonts w:ascii="宋体" w:hAnsi="宋体" w:cs="宋体"/>
                <w:color w:val="000000"/>
                <w:sz w:val="22"/>
                <w:lang w:bidi="ar"/>
              </w:rPr>
            </w:pPr>
            <w:r>
              <w:rPr>
                <w:rFonts w:ascii="宋体" w:hAnsi="宋体" w:cs="宋体"/>
                <w:color w:val="000000"/>
                <w:sz w:val="22"/>
                <w:lang w:bidi="ar"/>
              </w:rPr>
            </w:r>
            <w:r/>
          </w:p>
        </w:tc>
      </w:tr>
      <w:tr>
        <w:trPr>
          <w:jc w:val="center"/>
          <w:trHeight w:val="803"/>
        </w:trPr>
        <w:tc>
          <w:tcPr>
            <w:shd w:val="clear" w:color="auto" w:fill="ffffff"/>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9"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天线</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20套</w:t>
            </w:r>
            <w:r/>
          </w:p>
        </w:tc>
        <w:tc>
          <w:tcPr>
            <w:tcBorders>
              <w:top w:val="single" w:color="000000" w:sz="4" w:space="0"/>
              <w:left w:val="single" w:color="000000" w:sz="4" w:space="0"/>
              <w:bottom w:val="single" w:color="000000" w:sz="4" w:space="0"/>
              <w:right w:val="single" w:color="000000" w:sz="4" w:space="0"/>
            </w:tcBorders>
            <w:tcW w:w="3189" w:type="pct"/>
            <w:vAlign w:val="center"/>
            <w:textDirection w:val="lrTb"/>
            <w:noWrap w:val="false"/>
          </w:tcPr>
          <w:p>
            <w:pPr>
              <w:rPr>
                <w:rFonts w:ascii="宋体" w:hAnsi="宋体" w:cs="宋体"/>
                <w:color w:val="000000"/>
                <w:sz w:val="22"/>
              </w:rPr>
            </w:pPr>
            <w:r>
              <w:rPr>
                <w:rFonts w:hint="eastAsia" w:ascii="宋体" w:hAnsi="宋体" w:cs="宋体"/>
                <w:sz w:val="22"/>
                <w:lang w:bidi="ar"/>
              </w:rPr>
              <w:t xml:space="preserve">玻璃钢天线，含支架，频率范围220-240MHZ,全向增益3</w:t>
            </w:r>
            <w:r>
              <w:rPr>
                <w:rFonts w:ascii="宋体" w:hAnsi="宋体" w:cs="宋体"/>
                <w:sz w:val="22"/>
                <w:lang w:bidi="ar"/>
              </w:rPr>
              <w:t xml:space="preserve">-</w:t>
            </w:r>
            <w:r>
              <w:rPr>
                <w:rFonts w:hint="eastAsia" w:ascii="宋体" w:hAnsi="宋体" w:cs="宋体"/>
                <w:sz w:val="22"/>
                <w:lang w:bidi="ar"/>
              </w:rPr>
              <w:t xml:space="preserve">5db ，垂直极化，长度约1M</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rPr>
                <w:rFonts w:ascii="宋体" w:hAnsi="宋体" w:cs="宋体"/>
                <w:color w:val="000000"/>
                <w:sz w:val="22"/>
                <w:lang w:bidi="ar"/>
              </w:rPr>
            </w:pPr>
            <w:r>
              <w:rPr>
                <w:rFonts w:ascii="宋体" w:hAnsi="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rPr>
                <w:rFonts w:ascii="宋体" w:hAnsi="宋体" w:cs="宋体"/>
                <w:color w:val="000000"/>
                <w:sz w:val="22"/>
                <w:lang w:bidi="ar"/>
              </w:rPr>
            </w:pPr>
            <w:r>
              <w:rPr>
                <w:rFonts w:ascii="宋体" w:hAnsi="宋体" w:cs="宋体"/>
                <w:color w:val="000000"/>
                <w:sz w:val="22"/>
                <w:lang w:bidi="ar"/>
              </w:rPr>
            </w:r>
            <w:r/>
          </w:p>
        </w:tc>
      </w:tr>
      <w:tr>
        <w:trPr>
          <w:jc w:val="center"/>
          <w:trHeight w:val="285"/>
        </w:trPr>
        <w:tc>
          <w:tcPr>
            <w:shd w:val="clear" w:color="auto" w:fill="ffffff"/>
            <w:tcBorders>
              <w:top w:val="single" w:color="000000" w:sz="4" w:space="0"/>
              <w:left w:val="single" w:color="000000" w:sz="4" w:space="0"/>
              <w:bottom w:val="single" w:color="000000" w:sz="4" w:space="0"/>
              <w:right w:val="single" w:color="000000" w:sz="4" w:space="0"/>
            </w:tcBorders>
            <w:tcW w:w="147"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9"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馈线</w:t>
            </w:r>
            <w:r/>
          </w:p>
        </w:tc>
        <w:tc>
          <w:tcPr>
            <w:shd w:val="clear" w:color="auto" w:fill="ffffff"/>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20套</w:t>
            </w:r>
            <w:r/>
          </w:p>
        </w:tc>
        <w:tc>
          <w:tcPr>
            <w:tcBorders>
              <w:top w:val="single" w:color="000000" w:sz="4" w:space="0"/>
              <w:left w:val="single" w:color="000000" w:sz="4" w:space="0"/>
              <w:bottom w:val="single" w:color="000000" w:sz="4" w:space="0"/>
              <w:right w:val="single" w:color="000000" w:sz="4" w:space="0"/>
            </w:tcBorders>
            <w:tcW w:w="3189" w:type="pct"/>
            <w:vAlign w:val="center"/>
            <w:textDirection w:val="lrTb"/>
            <w:noWrap w:val="false"/>
          </w:tcPr>
          <w:p>
            <w:pPr>
              <w:rPr>
                <w:rFonts w:ascii="宋体" w:hAnsi="宋体" w:cs="宋体"/>
                <w:color w:val="000000"/>
                <w:sz w:val="22"/>
              </w:rPr>
            </w:pPr>
            <w:r>
              <w:rPr>
                <w:rFonts w:hint="eastAsia" w:ascii="宋体" w:hAnsi="宋体" w:cs="宋体"/>
                <w:color w:val="000000"/>
                <w:sz w:val="22"/>
                <w:lang w:bidi="ar"/>
              </w:rPr>
              <w:t xml:space="preserve">SYV-50-5 ，纯铜同轴电缆，阻抗≥50Ω,长度≥15m</w:t>
            </w:r>
            <w:r/>
          </w:p>
        </w:tc>
        <w:tc>
          <w:tcPr>
            <w:tcBorders>
              <w:top w:val="single" w:color="000000" w:sz="4" w:space="0"/>
              <w:left w:val="single" w:color="000000" w:sz="4" w:space="0"/>
              <w:bottom w:val="single" w:color="000000" w:sz="4" w:space="0"/>
              <w:right w:val="single" w:color="000000" w:sz="4" w:space="0"/>
            </w:tcBorders>
            <w:tcW w:w="526" w:type="pct"/>
            <w:vAlign w:val="center"/>
            <w:textDirection w:val="lrTb"/>
            <w:noWrap w:val="false"/>
          </w:tcPr>
          <w:p>
            <w:pPr>
              <w:rPr>
                <w:rFonts w:ascii="宋体" w:hAnsi="宋体" w:cs="宋体"/>
                <w:color w:val="000000"/>
                <w:sz w:val="22"/>
                <w:lang w:bidi="ar"/>
              </w:rPr>
            </w:pPr>
            <w:r>
              <w:rPr>
                <w:rFonts w:ascii="宋体" w:hAnsi="宋体" w:cs="宋体"/>
                <w:color w:val="000000"/>
                <w:sz w:val="22"/>
                <w:lang w:bidi="ar"/>
              </w:rPr>
            </w:r>
            <w:r/>
          </w:p>
        </w:tc>
        <w:tc>
          <w:tcPr>
            <w:tcBorders>
              <w:top w:val="single" w:color="000000" w:sz="4" w:space="0"/>
              <w:left w:val="single" w:color="000000" w:sz="4" w:space="0"/>
              <w:bottom w:val="single" w:color="000000" w:sz="4" w:space="0"/>
              <w:right w:val="single" w:color="000000" w:sz="4" w:space="0"/>
            </w:tcBorders>
            <w:tcW w:w="688" w:type="pct"/>
            <w:vAlign w:val="center"/>
            <w:textDirection w:val="lrTb"/>
            <w:noWrap w:val="false"/>
          </w:tcPr>
          <w:p>
            <w:pPr>
              <w:rPr>
                <w:rFonts w:ascii="宋体" w:hAnsi="宋体" w:cs="宋体"/>
                <w:color w:val="000000"/>
                <w:sz w:val="22"/>
                <w:lang w:bidi="ar"/>
              </w:rPr>
            </w:pPr>
            <w:r>
              <w:rPr>
                <w:rFonts w:ascii="宋体" w:hAnsi="宋体" w:cs="宋体"/>
                <w:color w:val="000000"/>
                <w:sz w:val="22"/>
                <w:lang w:bidi="ar"/>
              </w:rPr>
            </w:r>
            <w:r/>
          </w:p>
        </w:tc>
      </w:tr>
      <w:tr>
        <w:trPr>
          <w:jc w:val="center"/>
          <w:trHeight w:val="1119"/>
        </w:trPr>
        <w:tc>
          <w:tcPr>
            <w:gridSpan w:val="3"/>
            <w:shd w:val="clear" w:color="auto" w:fill="ffffff"/>
            <w:tcBorders>
              <w:top w:val="single" w:color="000000" w:sz="4" w:space="0"/>
              <w:left w:val="single" w:color="000000" w:sz="4" w:space="0"/>
              <w:bottom w:val="single" w:color="000000" w:sz="4" w:space="0"/>
              <w:right w:val="single" w:color="000000" w:sz="4" w:space="0"/>
            </w:tcBorders>
            <w:tcW w:w="596" w:type="pct"/>
            <w:vAlign w:val="center"/>
            <w:textDirection w:val="lrTb"/>
            <w:noWrap w:val="false"/>
          </w:tcPr>
          <w:p>
            <w:pPr>
              <w:jc w:val="center"/>
              <w:rPr>
                <w:rFonts w:ascii="宋体" w:hAnsi="宋体" w:cs="宋体"/>
                <w:color w:val="000000"/>
                <w:sz w:val="22"/>
                <w:lang w:bidi="ar"/>
              </w:rPr>
            </w:pPr>
            <w:r>
              <w:rPr>
                <w:rFonts w:hint="eastAsia" w:ascii="宋体" w:hAnsi="宋体" w:cs="宋体"/>
                <w:color w:val="000000"/>
                <w:sz w:val="22"/>
                <w:lang w:bidi="ar"/>
              </w:rPr>
              <w:t xml:space="preserve">总计（元）</w:t>
            </w:r>
            <w:r/>
          </w:p>
        </w:tc>
        <w:tc>
          <w:tcPr>
            <w:gridSpan w:val="3"/>
            <w:tcBorders>
              <w:top w:val="single" w:color="000000" w:sz="4" w:space="0"/>
              <w:left w:val="single" w:color="000000" w:sz="4" w:space="0"/>
              <w:bottom w:val="single" w:color="000000" w:sz="4" w:space="0"/>
              <w:right w:val="single" w:color="000000" w:sz="4" w:space="0"/>
            </w:tcBorders>
            <w:tcW w:w="4403" w:type="pct"/>
            <w:vAlign w:val="center"/>
            <w:textDirection w:val="lrTb"/>
            <w:noWrap w:val="false"/>
          </w:tcPr>
          <w:p>
            <w:pPr>
              <w:rPr>
                <w:rFonts w:ascii="宋体" w:hAnsi="宋体" w:cs="宋体"/>
                <w:color w:val="000000"/>
                <w:sz w:val="22"/>
                <w:lang w:bidi="ar"/>
              </w:rPr>
            </w:pPr>
            <w:r>
              <w:rPr>
                <w:rFonts w:ascii="宋体" w:hAnsi="宋体" w:cs="宋体"/>
                <w:color w:val="000000"/>
                <w:sz w:val="22"/>
                <w:lang w:bidi="ar"/>
              </w:rPr>
            </w:r>
            <w:r/>
          </w:p>
        </w:tc>
      </w:tr>
    </w:tbl>
    <w:p>
      <w:pPr>
        <w:ind w:firstLine="420"/>
        <w:jc w:val="both"/>
        <w:spacing w:before="240" w:after="240" w:line="360" w:lineRule="atLeast"/>
        <w:pBdr>
          <w:top w:val="none" w:color="000000" w:sz="0" w:space="0"/>
          <w:left w:val="none" w:color="000000" w:sz="0" w:space="0"/>
          <w:bottom w:val="none" w:color="000000" w:sz="0" w:space="0"/>
          <w:right w:val="none" w:color="000000" w:sz="0" w:space="0"/>
        </w:pBdr>
        <w:sectPr>
          <w:footnotePr/>
          <w:endnotePr/>
          <w:type w:val="nextPage"/>
          <w:pgSz w:w="16838" w:h="11906" w:orient="landscape"/>
          <w:pgMar w:top="1134" w:right="1134" w:bottom="1134" w:left="1134" w:header="709" w:footer="709" w:gutter="0"/>
          <w:cols w:num="1" w:sep="0" w:space="0" w:equalWidth="1"/>
          <w:docGrid w:linePitch="360"/>
        </w:sectPr>
      </w:pPr>
      <w:r/>
      <w:r/>
    </w:p>
    <w:p>
      <w:pPr>
        <w:jc w:val="center"/>
        <w:spacing w:line="360" w:lineRule="auto"/>
        <w:rPr>
          <w:rFonts w:ascii="宋体" w:hAnsi="宋体" w:eastAsia="宋体" w:cs="宋体"/>
          <w:b/>
          <w:bCs/>
          <w:i/>
          <w:color w:val="000000"/>
          <w:sz w:val="28"/>
          <w:szCs w:val="21"/>
          <w:u w:val="single"/>
        </w:rPr>
        <w:pBdr>
          <w:top w:val="none" w:color="000000" w:sz="0" w:space="0"/>
          <w:left w:val="none" w:color="000000" w:sz="0" w:space="0"/>
          <w:bottom w:val="none" w:color="000000" w:sz="0" w:space="0"/>
          <w:right w:val="none" w:color="000000" w:sz="0" w:space="0"/>
        </w:pBdr>
      </w:pPr>
      <w:r>
        <w:rPr>
          <w:rFonts w:ascii="宋体" w:hAnsi="宋体" w:eastAsia="宋体" w:cs="宋体"/>
          <w:b/>
          <w:bCs/>
          <w:i/>
          <w:color w:val="000000"/>
          <w:sz w:val="28"/>
          <w:szCs w:val="21"/>
          <w:u w:val="single"/>
        </w:rPr>
        <w:t xml:space="preserve">十</w:t>
      </w:r>
      <w:r>
        <w:rPr>
          <w:rFonts w:hint="eastAsia" w:ascii="宋体" w:hAnsi="宋体" w:eastAsia="宋体" w:cs="宋体"/>
          <w:b/>
          <w:bCs/>
          <w:i/>
          <w:color w:val="000000"/>
          <w:sz w:val="28"/>
          <w:szCs w:val="21"/>
          <w:u w:val="single"/>
        </w:rPr>
        <w:t xml:space="preserve">二</w:t>
      </w:r>
      <w:r>
        <w:rPr>
          <w:rFonts w:ascii="宋体" w:hAnsi="宋体" w:eastAsia="宋体" w:cs="宋体"/>
          <w:b/>
          <w:bCs/>
          <w:i/>
          <w:color w:val="000000"/>
          <w:sz w:val="28"/>
          <w:szCs w:val="21"/>
          <w:u w:val="single"/>
        </w:rPr>
        <w:t xml:space="preserve">、技术要求响应及偏离表</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3092"/>
        <w:gridCol w:w="2665"/>
        <w:gridCol w:w="1915"/>
        <w:gridCol w:w="11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行数不够，可自行添加。</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rFonts w:ascii="宋体" w:hAnsi="宋体" w:eastAsia="宋体" w:cs="宋体"/>
          <w:b/>
          <w:bCs/>
          <w:i/>
          <w:color w:val="000000"/>
          <w:sz w:val="28"/>
          <w:szCs w:val="21"/>
          <w:u w:val="single"/>
        </w:rPr>
        <w:pBdr>
          <w:top w:val="none" w:color="000000" w:sz="0" w:space="0"/>
          <w:left w:val="none" w:color="000000" w:sz="0" w:space="0"/>
          <w:bottom w:val="none" w:color="000000" w:sz="0" w:space="0"/>
          <w:right w:val="none" w:color="000000" w:sz="0" w:space="0"/>
        </w:pBdr>
      </w:pPr>
      <w:r>
        <w:rPr>
          <w:rFonts w:ascii="宋体" w:hAnsi="宋体" w:eastAsia="宋体" w:cs="宋体"/>
          <w:b/>
          <w:bCs/>
          <w:i/>
          <w:color w:val="000000"/>
          <w:sz w:val="28"/>
          <w:szCs w:val="21"/>
          <w:u w:val="single"/>
        </w:rPr>
        <w:t xml:space="preserve">十</w:t>
      </w:r>
      <w:r>
        <w:rPr>
          <w:rFonts w:hint="eastAsia" w:ascii="宋体" w:hAnsi="宋体" w:eastAsia="宋体" w:cs="宋体"/>
          <w:b/>
          <w:bCs/>
          <w:i/>
          <w:color w:val="000000"/>
          <w:sz w:val="28"/>
          <w:szCs w:val="21"/>
          <w:u w:val="single"/>
        </w:rPr>
        <w:t xml:space="preserve">三</w:t>
      </w:r>
      <w:r>
        <w:rPr>
          <w:rFonts w:ascii="宋体" w:hAnsi="宋体" w:eastAsia="宋体" w:cs="宋体"/>
          <w:b/>
          <w:bCs/>
          <w:i/>
          <w:color w:val="000000"/>
          <w:sz w:val="28"/>
          <w:szCs w:val="21"/>
          <w:u w:val="single"/>
        </w:rPr>
        <w:t xml:space="preserve">、商务要求响应及偏离表</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3092"/>
        <w:gridCol w:w="2665"/>
        <w:gridCol w:w="1915"/>
        <w:gridCol w:w="11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证明</w:t>
            </w:r>
            <w:r/>
          </w:p>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材料</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2"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29" w:type="dxa"/>
            <w:vAlign w:val="center"/>
            <w:textDirection w:val="lrTb"/>
            <w:noWrap/>
          </w:tcPr>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 行数不够，可自行添加。</w:t>
      </w:r>
      <w:r/>
    </w:p>
    <w:p>
      <w:pPr>
        <w:ind w:firstLine="420"/>
        <w:jc w:val="both"/>
        <w:spacing w:before="240" w:after="24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黑体" w:hAnsi="黑体" w:eastAsia="黑体" w:cs="黑体"/>
          <w:b/>
          <w:i/>
          <w:color w:val="000000"/>
          <w:sz w:val="32"/>
          <w:u w:val="single"/>
        </w:rPr>
        <w:t xml:space="preserve">十</w:t>
      </w:r>
      <w:r>
        <w:rPr>
          <w:rFonts w:hint="eastAsia" w:ascii="黑体" w:hAnsi="黑体" w:eastAsia="黑体" w:cs="黑体"/>
          <w:b/>
          <w:i/>
          <w:color w:val="000000"/>
          <w:sz w:val="32"/>
          <w:u w:val="single"/>
        </w:rPr>
        <w:t xml:space="preserve">四</w:t>
      </w:r>
      <w:r>
        <w:rPr>
          <w:rFonts w:ascii="黑体" w:hAnsi="黑体" w:eastAsia="黑体" w:cs="黑体"/>
          <w:b/>
          <w:i/>
          <w:color w:val="000000"/>
          <w:sz w:val="32"/>
          <w:u w:val="single"/>
        </w:rPr>
        <w:t xml:space="preserve">、开标一览表</w:t>
      </w:r>
      <w:r/>
    </w:p>
    <w:p>
      <w:pP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项目编号：</w:t>
      </w:r>
      <w:r>
        <w:rPr>
          <w:rFonts w:hint="eastAsia" w:ascii="微软雅黑" w:hAnsi="微软雅黑" w:eastAsia="微软雅黑" w:cs="微软雅黑"/>
          <w:color w:val="000000"/>
          <w:sz w:val="24"/>
        </w:rPr>
        <w:t xml:space="preserve">JSZC-320900-RHHH-G2025-0125</w:t>
      </w:r>
      <w:r/>
    </w:p>
    <w:p>
      <w:pPr>
        <w:jc w:val="both"/>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货币单位：人民币元</w:t>
      </w:r>
      <w:r/>
    </w:p>
    <w:tbl>
      <w:tblPr>
        <w:tblStyle w:val="7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2"/>
        <w:gridCol w:w="2784"/>
        <w:gridCol w:w="3514"/>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2982" w:type="dxa"/>
            <w:vAlign w:val="center"/>
            <w:textDirection w:val="lrTb"/>
            <w:noWrap w:val="false"/>
          </w:tcPr>
          <w:p>
            <w:pPr>
              <w:jc w:val="both"/>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项目名称</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2784" w:type="dxa"/>
            <w:vAlign w:val="center"/>
            <w:textDirection w:val="lrTb"/>
            <w:noWrap w:val="false"/>
          </w:tcPr>
          <w:p>
            <w:pPr>
              <w:jc w:val="both"/>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项目内容</w:t>
            </w:r>
            <w:r/>
          </w:p>
        </w:tc>
        <w:tc>
          <w:tcPr>
            <w:tcBorders>
              <w:top w:val="single" w:color="808080" w:sz="8" w:space="0"/>
              <w:left w:val="none" w:color="000000" w:sz="4" w:space="0"/>
              <w:bottom w:val="single" w:color="808080" w:sz="8" w:space="0"/>
              <w:right w:val="single" w:color="808080" w:sz="8" w:space="0"/>
            </w:tcBorders>
            <w:tcMar>
              <w:left w:w="15" w:type="dxa"/>
              <w:top w:w="15" w:type="dxa"/>
              <w:right w:w="15" w:type="dxa"/>
              <w:bottom w:w="15" w:type="dxa"/>
            </w:tcMar>
            <w:tcW w:w="3514" w:type="dxa"/>
            <w:vAlign w:val="center"/>
            <w:textDirection w:val="lrTb"/>
            <w:noWrap w:val="false"/>
          </w:tcPr>
          <w:p>
            <w:pPr>
              <w:jc w:val="both"/>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总价（小写）</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2982" w:type="dxa"/>
            <w:vAlign w:val="center"/>
            <w:textDirection w:val="lrTb"/>
            <w:noWrap w:val="false"/>
          </w:tcPr>
          <w:p>
            <w:pPr>
              <w:jc w:val="both"/>
              <w:spacing w:before="240" w:after="240"/>
              <w:rPr>
                <w:rFonts w:ascii="微软雅黑" w:hAnsi="微软雅黑" w:eastAsia="微软雅黑" w:cs="微软雅黑"/>
                <w:color w:val="000000"/>
                <w:sz w:val="24"/>
                <w:szCs w:val="24"/>
              </w:rPr>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000000"/>
                <w:sz w:val="24"/>
                <w:szCs w:val="24"/>
              </w:rPr>
              <w:t xml:space="preserve">2025年人防警报设施采购项目</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2784" w:type="dxa"/>
            <w:vAlign w:val="center"/>
            <w:textDirection w:val="lrTb"/>
            <w:noWrap w:val="false"/>
          </w:tcPr>
          <w:p>
            <w:pPr>
              <w:jc w:val="both"/>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详见投标文件</w:t>
            </w:r>
            <w:r/>
          </w:p>
        </w:tc>
        <w:tc>
          <w:tcPr>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3514" w:type="dxa"/>
            <w:vAlign w:val="center"/>
            <w:textDirection w:val="lrTb"/>
            <w:noWrap w:val="false"/>
          </w:tcPr>
          <w:p>
            <w:pPr>
              <w:jc w:val="both"/>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元</w:t>
            </w:r>
            <w:r/>
          </w:p>
        </w:tc>
      </w:tr>
      <w:tr>
        <w:trPr/>
        <w:tc>
          <w:tcPr>
            <w:tcBorders>
              <w:top w:val="none" w:color="000000" w:sz="4" w:space="0"/>
              <w:left w:val="single" w:color="808080" w:sz="8" w:space="0"/>
              <w:bottom w:val="single" w:color="808080" w:sz="8" w:space="0"/>
              <w:right w:val="single" w:color="808080" w:sz="8" w:space="0"/>
            </w:tcBorders>
            <w:tcMar>
              <w:left w:w="15" w:type="dxa"/>
              <w:top w:w="15" w:type="dxa"/>
              <w:right w:w="15" w:type="dxa"/>
              <w:bottom w:w="15" w:type="dxa"/>
            </w:tcMar>
            <w:tcW w:w="2982" w:type="dxa"/>
            <w:vAlign w:val="center"/>
            <w:textDirection w:val="lrTb"/>
            <w:noWrap w:val="false"/>
          </w:tcPr>
          <w:p>
            <w:pPr>
              <w:jc w:val="both"/>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总价（大写）：</w:t>
            </w:r>
            <w:r/>
          </w:p>
        </w:tc>
        <w:tc>
          <w:tcPr>
            <w:gridSpan w:val="2"/>
            <w:tcBorders>
              <w:top w:val="none" w:color="000000" w:sz="4" w:space="0"/>
              <w:left w:val="none" w:color="000000" w:sz="4" w:space="0"/>
              <w:bottom w:val="single" w:color="808080" w:sz="8" w:space="0"/>
              <w:right w:val="single" w:color="808080" w:sz="8" w:space="0"/>
            </w:tcBorders>
            <w:tcMar>
              <w:left w:w="15" w:type="dxa"/>
              <w:top w:w="15" w:type="dxa"/>
              <w:right w:w="15" w:type="dxa"/>
              <w:bottom w:w="15" w:type="dxa"/>
            </w:tcMar>
            <w:tcW w:w="6298" w:type="dxa"/>
            <w:vAlign w:val="center"/>
            <w:textDirection w:val="lrTb"/>
            <w:noWrap w:val="false"/>
          </w:tcPr>
          <w:p>
            <w:pPr>
              <w:jc w:val="both"/>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金额大写 </w:t>
            </w:r>
            <w:r/>
          </w:p>
        </w:tc>
      </w:tr>
    </w:tbl>
    <w:p>
      <w:pPr>
        <w:jc w:val="both"/>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 </w:t>
      </w:r>
      <w:r/>
    </w:p>
    <w:p>
      <w:pPr>
        <w:jc w:val="both"/>
        <w:spacing w:before="240" w:after="240"/>
        <w:pBdr>
          <w:top w:val="none" w:color="000000" w:sz="0" w:space="0"/>
          <w:left w:val="none" w:color="000000" w:sz="0" w:space="0"/>
          <w:bottom w:val="none" w:color="000000" w:sz="0" w:space="0"/>
          <w:right w:val="none" w:color="000000" w:sz="0" w:space="0"/>
        </w:pBdr>
      </w:pPr>
      <w:r>
        <w:rPr>
          <w:rFonts w:ascii="微软雅黑" w:hAnsi="微软雅黑" w:eastAsia="微软雅黑" w:cs="微软雅黑"/>
          <w:color w:val="000000"/>
          <w:sz w:val="24"/>
        </w:rPr>
        <w:t xml:space="preserve">投标人公章：                      （电子签章）              日期： 年 月 日</w:t>
      </w:r>
      <w:r/>
    </w:p>
    <w:p>
      <w:pPr>
        <w:jc w:val="center"/>
        <w:spacing w:before="240" w:after="240" w:line="36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jc w:val="center"/>
        <w:spacing w:before="240" w:after="240" w:line="36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jc w:val="center"/>
        <w:spacing w:before="240" w:after="240" w:line="36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jc w:val="center"/>
        <w:spacing w:before="240" w:after="240" w:line="36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jc w:val="center"/>
        <w:spacing w:before="240" w:after="240" w:line="360" w:lineRule="atLeast"/>
        <w:rPr>
          <w:b/>
          <w:color w:val="000000"/>
          <w:sz w:val="24"/>
        </w:rPr>
        <w:pBdr>
          <w:top w:val="none" w:color="000000" w:sz="0" w:space="0"/>
          <w:left w:val="none" w:color="000000" w:sz="0" w:space="0"/>
          <w:bottom w:val="none" w:color="000000" w:sz="0" w:space="0"/>
          <w:right w:val="none" w:color="000000" w:sz="0" w:space="0"/>
        </w:pBdr>
      </w:pPr>
      <w:r>
        <w:rPr>
          <w:b/>
          <w:color w:val="000000"/>
          <w:sz w:val="24"/>
        </w:rPr>
      </w:r>
      <w:r/>
    </w:p>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 </w:t>
      </w:r>
      <w:r/>
    </w:p>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  </w:t>
      </w:r>
      <w:r/>
    </w:p>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 </w:t>
      </w:r>
      <w:r/>
    </w:p>
    <w:p>
      <w:pPr>
        <w:jc w:val="center"/>
        <w:spacing w:before="240" w:after="240" w:line="360" w:lineRule="atLeast"/>
        <w:rPr>
          <w:rFonts w:eastAsia="Times New Roman"/>
          <w:b/>
          <w:color w:val="000000"/>
          <w:sz w:val="24"/>
        </w:rPr>
        <w:pBdr>
          <w:top w:val="none" w:color="000000" w:sz="0" w:space="0"/>
          <w:left w:val="none" w:color="000000" w:sz="0" w:space="0"/>
          <w:bottom w:val="none" w:color="000000" w:sz="0" w:space="0"/>
          <w:right w:val="none" w:color="000000" w:sz="0" w:space="0"/>
        </w:pBdr>
      </w:pPr>
      <w:r>
        <w:rPr>
          <w:rFonts w:eastAsia="Times New Roman"/>
          <w:b/>
          <w:color w:val="000000"/>
          <w:sz w:val="24"/>
        </w:rPr>
      </w:r>
      <w:r/>
    </w:p>
    <w:p>
      <w:pPr>
        <w:jc w:val="center"/>
        <w:spacing w:before="240" w:after="240" w:line="360" w:lineRule="atLeast"/>
        <w:rPr>
          <w:rFonts w:eastAsia="Times New Roman"/>
          <w:b/>
          <w:color w:val="000000"/>
          <w:sz w:val="24"/>
        </w:rPr>
        <w:pBdr>
          <w:top w:val="none" w:color="000000" w:sz="0" w:space="0"/>
          <w:left w:val="none" w:color="000000" w:sz="0" w:space="0"/>
          <w:bottom w:val="none" w:color="000000" w:sz="0" w:space="0"/>
          <w:right w:val="none" w:color="000000" w:sz="0" w:space="0"/>
        </w:pBdr>
      </w:pPr>
      <w:r>
        <w:rPr>
          <w:rFonts w:eastAsia="Times New Roman"/>
          <w:b/>
          <w:color w:val="000000"/>
          <w:sz w:val="24"/>
        </w:rPr>
      </w:r>
      <w:r/>
    </w:p>
    <w:p>
      <w:pPr>
        <w:jc w:val="center"/>
        <w:spacing w:before="240" w:after="240" w:line="360" w:lineRule="atLeast"/>
        <w:rPr>
          <w:rFonts w:eastAsia="Times New Roman"/>
          <w:b/>
          <w:color w:val="000000"/>
          <w:sz w:val="24"/>
        </w:rPr>
        <w:pBdr>
          <w:top w:val="none" w:color="000000" w:sz="0" w:space="0"/>
          <w:left w:val="none" w:color="000000" w:sz="0" w:space="0"/>
          <w:bottom w:val="none" w:color="000000" w:sz="0" w:space="0"/>
          <w:right w:val="none" w:color="000000" w:sz="0" w:space="0"/>
        </w:pBdr>
      </w:pPr>
      <w:r>
        <w:rPr>
          <w:rFonts w:eastAsia="Times New Roman"/>
          <w:b/>
          <w:color w:val="000000"/>
          <w:sz w:val="24"/>
        </w:rPr>
      </w:r>
      <w:r/>
    </w:p>
    <w:p>
      <w:pPr>
        <w:jc w:val="center"/>
        <w:spacing w:before="240" w:after="240" w:line="360" w:lineRule="atLeast"/>
        <w:rPr>
          <w:rFonts w:eastAsia="Times New Roman"/>
          <w:b/>
          <w:color w:val="000000"/>
          <w:sz w:val="24"/>
        </w:rPr>
        <w:pBdr>
          <w:top w:val="none" w:color="000000" w:sz="0" w:space="0"/>
          <w:left w:val="none" w:color="000000" w:sz="0" w:space="0"/>
          <w:bottom w:val="none" w:color="000000" w:sz="0" w:space="0"/>
          <w:right w:val="none" w:color="000000" w:sz="0" w:space="0"/>
        </w:pBdr>
      </w:pPr>
      <w:r>
        <w:rPr>
          <w:rFonts w:eastAsia="Times New Roman"/>
          <w:b/>
          <w:color w:val="000000"/>
          <w:sz w:val="24"/>
        </w:rPr>
      </w:r>
      <w:r/>
    </w:p>
    <w:p>
      <w:pPr>
        <w:jc w:val="center"/>
        <w:spacing w:before="240" w:after="240" w:line="360" w:lineRule="atLeast"/>
        <w:rPr>
          <w:rFonts w:eastAsia="Times New Roman"/>
          <w:b/>
          <w:color w:val="000000"/>
          <w:sz w:val="24"/>
        </w:rPr>
        <w:pBdr>
          <w:top w:val="none" w:color="000000" w:sz="0" w:space="0"/>
          <w:left w:val="none" w:color="000000" w:sz="0" w:space="0"/>
          <w:bottom w:val="none" w:color="000000" w:sz="0" w:space="0"/>
          <w:right w:val="none" w:color="000000" w:sz="0" w:space="0"/>
        </w:pBdr>
      </w:pPr>
      <w:r>
        <w:rPr>
          <w:rFonts w:eastAsia="Times New Roman"/>
          <w:b/>
          <w:color w:val="000000"/>
          <w:sz w:val="24"/>
        </w:rPr>
      </w:r>
      <w:r/>
    </w:p>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eastAsia="Times New Roman"/>
          <w:b/>
          <w:color w:val="000000"/>
          <w:sz w:val="24"/>
        </w:rPr>
        <w:t xml:space="preserve">  </w:t>
      </w:r>
      <w:r>
        <w:rPr>
          <w:rFonts w:ascii="宋体" w:hAnsi="宋体" w:eastAsia="宋体" w:cs="宋体"/>
          <w:color w:val="000000"/>
          <w:sz w:val="32"/>
        </w:rPr>
        <w:t xml:space="preserve">十</w:t>
      </w:r>
      <w:r>
        <w:rPr>
          <w:rFonts w:hint="eastAsia" w:ascii="宋体" w:hAnsi="宋体" w:eastAsia="宋体" w:cs="宋体"/>
          <w:color w:val="000000"/>
          <w:sz w:val="32"/>
        </w:rPr>
        <w:t xml:space="preserve">五</w:t>
      </w:r>
      <w:r>
        <w:rPr>
          <w:rFonts w:ascii="宋体" w:hAnsi="宋体" w:eastAsia="宋体" w:cs="宋体"/>
          <w:color w:val="000000"/>
          <w:sz w:val="32"/>
        </w:rPr>
        <w:t xml:space="preserve">、</w:t>
      </w:r>
      <w:r>
        <w:rPr>
          <w:rFonts w:hint="eastAsia" w:ascii="宋体" w:hAnsi="宋体" w:eastAsia="宋体" w:cs="宋体"/>
          <w:color w:val="000000"/>
          <w:sz w:val="32"/>
        </w:rPr>
        <w:t xml:space="preserve">实施方案</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rPr>
          <w:rFonts w:ascii="宋体" w:hAnsi="宋体" w:eastAsia="宋体" w:cs="宋体"/>
          <w:color w:val="000000"/>
          <w:sz w:val="32"/>
        </w:rPr>
        <w:t xml:space="preserve">十</w:t>
      </w:r>
      <w:r>
        <w:rPr>
          <w:rFonts w:hint="eastAsia" w:ascii="宋体" w:hAnsi="宋体" w:eastAsia="宋体" w:cs="宋体"/>
          <w:color w:val="000000"/>
          <w:sz w:val="32"/>
        </w:rPr>
        <w:t xml:space="preserve">六</w:t>
      </w:r>
      <w:r>
        <w:rPr>
          <w:rFonts w:ascii="宋体" w:hAnsi="宋体" w:eastAsia="宋体" w:cs="宋体"/>
          <w:color w:val="000000"/>
          <w:sz w:val="32"/>
        </w:rPr>
        <w:t xml:space="preserve">、</w:t>
      </w:r>
      <w:r>
        <w:rPr>
          <w:rFonts w:hint="eastAsia" w:ascii="宋体" w:hAnsi="宋体" w:eastAsia="宋体" w:cs="宋体"/>
          <w:color w:val="000000"/>
          <w:sz w:val="32"/>
        </w:rPr>
        <w:t xml:space="preserve">投标人认为需要提供的其他材料</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jc w:val="center"/>
        <w:spacing w:line="360" w:lineRule="auto"/>
        <w:rPr>
          <w:rFonts w:ascii="宋体" w:hAnsi="宋体" w:eastAsia="宋体" w:cs="宋体"/>
          <w:b/>
          <w:bCs/>
          <w:i/>
          <w:color w:val="000000"/>
          <w:sz w:val="28"/>
          <w:szCs w:val="21"/>
          <w:u w:val="single"/>
        </w:rPr>
        <w:pBdr>
          <w:top w:val="none" w:color="000000" w:sz="0" w:space="0"/>
          <w:left w:val="none" w:color="000000" w:sz="0" w:space="0"/>
          <w:bottom w:val="none" w:color="000000" w:sz="0" w:space="0"/>
          <w:right w:val="none" w:color="000000" w:sz="0" w:space="0"/>
        </w:pBdr>
      </w:pPr>
      <w:r>
        <w:rPr>
          <w:rFonts w:ascii="宋体" w:hAnsi="宋体" w:eastAsia="宋体" w:cs="宋体"/>
          <w:b/>
          <w:bCs/>
          <w:i/>
          <w:color w:val="000000"/>
          <w:sz w:val="28"/>
          <w:szCs w:val="21"/>
          <w:u w:val="single"/>
        </w:rPr>
        <w:t xml:space="preserve">十</w:t>
      </w:r>
      <w:r>
        <w:rPr>
          <w:rFonts w:hint="eastAsia" w:ascii="宋体" w:hAnsi="宋体" w:eastAsia="宋体" w:cs="宋体"/>
          <w:b/>
          <w:bCs/>
          <w:i/>
          <w:color w:val="000000"/>
          <w:sz w:val="28"/>
          <w:szCs w:val="21"/>
          <w:u w:val="single"/>
        </w:rPr>
        <w:t xml:space="preserve">七</w:t>
      </w:r>
      <w:r>
        <w:rPr>
          <w:rFonts w:ascii="宋体" w:hAnsi="宋体" w:eastAsia="宋体" w:cs="宋体"/>
          <w:b/>
          <w:bCs/>
          <w:i/>
          <w:color w:val="000000"/>
          <w:sz w:val="28"/>
          <w:szCs w:val="21"/>
          <w:u w:val="single"/>
        </w:rPr>
        <w:t xml:space="preserve">、盐城市政府采购事前信用承诺书</w:t>
      </w:r>
      <w:r/>
    </w:p>
    <w:p>
      <w:pPr>
        <w:ind w:firstLine="64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（四）严格遵守即时信息公示规定，及时维护和更新维护和更新盐城市政府采购网中与本单位相关的信息；</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（六）自觉接受政府、行业组织、社会公众、新闻舆论的监督；</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（八）本人已认真阅读了上述承诺，并向本单位员工作了宣传教育。</w:t>
      </w:r>
      <w:r/>
    </w:p>
    <w:p>
      <w:pPr>
        <w:ind w:firstLine="420"/>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eastAsia="宋体" w:cs="宋体"/>
          <w:color w:val="000000"/>
          <w:sz w:val="24"/>
        </w:rPr>
        <w:t xml:space="preserve">    </w:t>
      </w:r>
      <w:r>
        <w:rPr>
          <w:rFonts w:ascii="宋体" w:hAnsi="宋体" w:eastAsia="宋体" w:cs="宋体"/>
          <w:color w:val="000000"/>
          <w:sz w:val="24"/>
        </w:rPr>
        <w:t xml:space="preserve">  法定代表人</w:t>
      </w:r>
      <w:r>
        <w:rPr>
          <w:rFonts w:hint="eastAsia" w:ascii="宋体" w:hAnsi="宋体" w:eastAsia="宋体" w:cs="宋体"/>
          <w:color w:val="000000"/>
          <w:sz w:val="24"/>
        </w:rPr>
        <w:t xml:space="preserve">（签字或盖章）</w:t>
      </w:r>
      <w:r>
        <w:rPr>
          <w:rFonts w:ascii="宋体" w:hAnsi="宋体" w:eastAsia="宋体" w:cs="宋体"/>
          <w:color w:val="000000"/>
          <w:sz w:val="24"/>
        </w:rPr>
        <w:t xml:space="preserve">：</w:t>
      </w:r>
      <w:r/>
    </w:p>
    <w:p>
      <w:pPr>
        <w:ind w:firstLine="420"/>
        <w:jc w:val="cente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单位名称（盖章）：</w:t>
      </w:r>
      <w:r/>
    </w:p>
    <w:p>
      <w:pPr>
        <w:ind w:firstLine="420"/>
        <w:jc w:val="center"/>
        <w:spacing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年月日</w:t>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pBdr>
          <w:top w:val="none" w:color="000000" w:sz="0" w:space="0"/>
          <w:left w:val="none" w:color="000000" w:sz="0" w:space="0"/>
          <w:bottom w:val="none" w:color="000000" w:sz="0" w:space="0"/>
          <w:right w:val="none" w:color="000000" w:sz="0" w:space="0"/>
        </w:pBdr>
      </w:pPr>
      <w:r>
        <w:br w:type="page" w:clear="all"/>
      </w:r>
      <w:r/>
    </w:p>
    <w:p>
      <w:pPr>
        <w:ind w:firstLine="420"/>
        <w:jc w:val="center"/>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firstLine="420"/>
        <w:jc w:val="both"/>
        <w:spacing w:before="29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ab/>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firstLine="420"/>
        <w:jc w:val="both"/>
        <w:spacing w:before="240" w:after="240" w:line="360" w:lineRule="atLeast"/>
        <w:rPr>
          <w:rFonts w:ascii="宋体" w:hAnsi="宋体" w:eastAsia="宋体" w:cs="宋体"/>
          <w:color w:val="000000"/>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ab/>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 </w:t>
      </w:r>
      <w:r>
        <w:rPr>
          <w:rFonts w:ascii="宋体" w:hAnsi="宋体" w:eastAsia="宋体" w:cs="宋体"/>
          <w:color w:val="000000"/>
          <w:sz w:val="24"/>
          <w:u w:val="single"/>
        </w:rPr>
        <w:t xml:space="preserve">                  </w:t>
      </w:r>
      <w:r>
        <w:rPr>
          <w:rFonts w:ascii="宋体" w:hAnsi="宋体" w:eastAsia="宋体" w:cs="宋体"/>
          <w:color w:val="000000"/>
          <w:sz w:val="24"/>
          <w:u w:val="single"/>
        </w:rPr>
        <w:tab/>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rPr>
          <w:rFonts w:ascii="宋体" w:hAnsi="宋体" w:eastAsia="宋体" w:cs="宋体"/>
          <w:color w:val="000000"/>
          <w:sz w:val="24"/>
          <w:u w:val="single"/>
        </w:rPr>
        <w:tab/>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firstLine="42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公章：        日期：    </w:t>
      </w:r>
      <w:r/>
    </w:p>
    <w:p>
      <w:pPr>
        <w:ind w:firstLine="420"/>
        <w:jc w:val="both"/>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3.质疑供应商若对项目的某一分包进行质疑，质疑函中应列明具体分包号。</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firstLine="48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20"/>
        <w:spacing w:before="240" w:after="240" w:line="3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r/>
      <w:r/>
    </w:p>
    <w:p>
      <w:pPr>
        <w:jc w:val="center"/>
        <w:rPr>
          <w:rFonts w:ascii="Calibri" w:hAnsi="Calibri" w:eastAsia="Calibri" w:cs="Calibri"/>
          <w:sz w:val="24"/>
          <w:szCs w:val="24"/>
        </w:rPr>
        <w:pBdr>
          <w:top w:val="none" w:color="000000" w:sz="0" w:space="0"/>
          <w:left w:val="none" w:color="000000" w:sz="0" w:space="0"/>
          <w:bottom w:val="none" w:color="000000" w:sz="0" w:space="0"/>
          <w:right w:val="none" w:color="000000" w:sz="0" w:space="0"/>
        </w:pBdr>
      </w:pPr>
      <w:r>
        <w:rPr>
          <w:rFonts w:ascii="Calibri" w:hAnsi="Calibri" w:eastAsia="Calibri" w:cs="Calibri"/>
          <w:sz w:val="24"/>
          <w:szCs w:val="24"/>
        </w:rPr>
      </w:r>
      <w:r/>
    </w:p>
    <w:sectPr>
      <w:footnotePr/>
      <w:endnotePr/>
      <w:type w:val="nextPage"/>
      <w:pgSz w:w="11906" w:h="16838" w:orient="portrait"/>
      <w:pgMar w:top="1134" w:right="1134" w:bottom="1134" w:left="113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仿宋">
    <w:panose1 w:val="02010609060101010101"/>
  </w:font>
  <w:font w:name="仿宋_GB2312">
    <w:panose1 w:val="02010609060101010101"/>
  </w:font>
  <w:font w:name="Verdana">
    <w:panose1 w:val="020B0604030504040204"/>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mbria">
    <w:panose1 w:val="02040503050406030204"/>
  </w:font>
  <w:font w:name="微软雅黑">
    <w:panose1 w:val="020B0503020204020204"/>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2"/>
      <w:jc w:val="center"/>
    </w:pPr>
    <w:r>
      <w:fldChar w:fldCharType="begin"/>
    </w:r>
    <w:r>
      <w:instrText xml:space="preserve">PAGE \* MERGEFORMAT</w:instrText>
    </w:r>
    <w:r>
      <w:fldChar w:fldCharType="separate"/>
    </w:r>
    <w:r>
      <w:t xml:space="preserve">1</w:t>
    </w:r>
    <w:r>
      <w:fldChar w:fldCharType="end"/>
    </w:r>
    <w:r/>
  </w:p>
  <w:p>
    <w:pPr>
      <w:pStyle w:val="70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54">
    <w:name w:val="Plain Table 1"/>
    <w:basedOn w:val="6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5">
    <w:name w:val="Plain Table 2"/>
    <w:basedOn w:val="6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6">
    <w:name w:val="Plain Table 3"/>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7">
    <w:name w:val="Plain Table 4"/>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8">
    <w:name w:val="Plain Table 5"/>
    <w:basedOn w:val="6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59">
    <w:name w:val="Grid Table 1 Light"/>
    <w:basedOn w:val="6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0">
    <w:name w:val="Grid Table 2"/>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1">
    <w:name w:val="Grid Table 3"/>
    <w:basedOn w:val="6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62">
    <w:name w:val="Grid Table 4"/>
    <w:basedOn w:val="6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63">
    <w:name w:val="Grid Table 5 Dark"/>
    <w:basedOn w:val="6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64">
    <w:name w:val="Grid Table 6 Colorful"/>
    <w:basedOn w:val="6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65">
    <w:name w:val="Grid Table 7 Colorful"/>
    <w:basedOn w:val="6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66">
    <w:name w:val="List Table 1 Light"/>
    <w:basedOn w:val="6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67">
    <w:name w:val="List Table 2"/>
    <w:basedOn w:val="6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68">
    <w:name w:val="List Table 3"/>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69">
    <w:name w:val="List Table 4"/>
    <w:basedOn w:val="6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0">
    <w:name w:val="List Table 5 Dark"/>
    <w:basedOn w:val="6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1">
    <w:name w:val="List Table 6 Colorful"/>
    <w:basedOn w:val="6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72">
    <w:name w:val="List Table 7 Colorful"/>
    <w:basedOn w:val="6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673">
    <w:name w:val="TOC Heading"/>
    <w:uiPriority w:val="39"/>
    <w:unhideWhenUsed/>
  </w:style>
  <w:style w:type="paragraph" w:styleId="674" w:default="1">
    <w:name w:val="Normal"/>
    <w:uiPriority w:val="0"/>
    <w:qFormat/>
    <w:rPr>
      <w:rFonts w:ascii="Times New Roman" w:hAnsi="Times New Roman" w:cs="Times New Roman" w:eastAsiaTheme="minorEastAsia"/>
      <w:lang w:val="en-US" w:eastAsia="zh-CN" w:bidi="ar-SA"/>
    </w:rPr>
  </w:style>
  <w:style w:type="paragraph" w:styleId="675">
    <w:name w:val="Heading 1"/>
    <w:next w:val="674"/>
    <w:link w:val="747"/>
    <w:uiPriority w:val="9"/>
    <w:qFormat/>
    <w:pPr>
      <w:keepLines/>
      <w:keepNext/>
      <w:spacing w:before="480" w:after="200"/>
      <w:outlineLvl w:val="0"/>
    </w:pPr>
    <w:rPr>
      <w:rFonts w:ascii="Arial" w:hAnsi="Arial" w:eastAsia="Arial" w:cs="Arial"/>
      <w:sz w:val="40"/>
      <w:szCs w:val="40"/>
      <w:lang w:val="en-US" w:eastAsia="zh-CN" w:bidi="ar-SA"/>
    </w:rPr>
  </w:style>
  <w:style w:type="paragraph" w:styleId="676">
    <w:name w:val="Heading 2"/>
    <w:next w:val="674"/>
    <w:link w:val="748"/>
    <w:uiPriority w:val="9"/>
    <w:unhideWhenUsed/>
    <w:qFormat/>
    <w:pPr>
      <w:keepLines/>
      <w:keepNext/>
      <w:spacing w:before="360" w:after="200"/>
      <w:outlineLvl w:val="1"/>
    </w:pPr>
    <w:rPr>
      <w:rFonts w:ascii="Arial" w:hAnsi="Arial" w:eastAsia="Arial" w:cs="Arial"/>
      <w:sz w:val="34"/>
      <w:lang w:val="en-US" w:eastAsia="zh-CN" w:bidi="ar-SA"/>
    </w:rPr>
  </w:style>
  <w:style w:type="paragraph" w:styleId="677">
    <w:name w:val="Heading 3"/>
    <w:next w:val="674"/>
    <w:link w:val="749"/>
    <w:uiPriority w:val="0"/>
    <w:unhideWhenUsed/>
    <w:qFormat/>
    <w:pPr>
      <w:keepLines/>
      <w:keepNext/>
      <w:spacing w:before="320" w:after="200"/>
      <w:outlineLvl w:val="2"/>
    </w:pPr>
    <w:rPr>
      <w:rFonts w:ascii="Arial" w:hAnsi="Arial" w:eastAsia="Arial" w:cs="Arial"/>
      <w:sz w:val="30"/>
      <w:szCs w:val="30"/>
      <w:lang w:val="en-US" w:eastAsia="zh-CN" w:bidi="ar-SA"/>
    </w:rPr>
  </w:style>
  <w:style w:type="paragraph" w:styleId="678">
    <w:name w:val="Heading 4"/>
    <w:next w:val="674"/>
    <w:link w:val="750"/>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79">
    <w:name w:val="Heading 5"/>
    <w:next w:val="674"/>
    <w:link w:val="751"/>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80">
    <w:name w:val="Heading 6"/>
    <w:next w:val="674"/>
    <w:link w:val="752"/>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81">
    <w:name w:val="Heading 7"/>
    <w:next w:val="674"/>
    <w:link w:val="753"/>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82">
    <w:name w:val="Heading 8"/>
    <w:next w:val="674"/>
    <w:link w:val="754"/>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83">
    <w:name w:val="Heading 9"/>
    <w:next w:val="674"/>
    <w:link w:val="755"/>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84" w:default="1">
    <w:name w:val="Default Paragraph Font"/>
    <w:uiPriority w:val="1"/>
    <w:semiHidden/>
    <w:unhideWhenUsed/>
    <w:qFormat/>
  </w:style>
  <w:style w:type="table" w:styleId="685" w:default="1">
    <w:name w:val="Normal Table"/>
    <w:uiPriority w:val="99"/>
    <w:semiHidden/>
    <w:unhideWhenUsed/>
    <w:tblPr>
      <w:tblCellMar>
        <w:left w:w="108" w:type="dxa"/>
        <w:top w:w="0" w:type="dxa"/>
        <w:right w:w="108" w:type="dxa"/>
        <w:bottom w:w="0" w:type="dxa"/>
      </w:tblCellMar>
    </w:tblPr>
  </w:style>
  <w:style w:type="paragraph" w:styleId="686">
    <w:name w:val="toc 7"/>
    <w:next w:val="674"/>
    <w:uiPriority w:val="39"/>
    <w:unhideWhenUsed/>
    <w:qFormat/>
    <w:pPr>
      <w:ind w:left="1701"/>
      <w:spacing w:after="57"/>
    </w:pPr>
    <w:rPr>
      <w:rFonts w:ascii="Times New Roman" w:hAnsi="Times New Roman" w:cs="Times New Roman" w:eastAsiaTheme="minorEastAsia"/>
      <w:lang w:val="en-US" w:eastAsia="zh-CN" w:bidi="ar-SA"/>
    </w:rPr>
  </w:style>
  <w:style w:type="paragraph" w:styleId="687">
    <w:name w:val="Normal Indent"/>
    <w:basedOn w:val="674"/>
    <w:link w:val="886"/>
    <w:uiPriority w:val="0"/>
    <w:unhideWhenUsed/>
    <w:qFormat/>
    <w:pPr>
      <w:ind w:firstLine="420"/>
      <w:jc w:val="both"/>
      <w:widowControl w:val="off"/>
    </w:pPr>
    <w:rPr>
      <w:rFonts w:ascii="Calibri" w:hAnsi="Calibri" w:eastAsia="Arial" w:cs="Arial"/>
      <w:sz w:val="21"/>
    </w:rPr>
  </w:style>
  <w:style w:type="paragraph" w:styleId="688">
    <w:name w:val="Caption"/>
    <w:next w:val="674"/>
    <w:uiPriority w:val="35"/>
    <w:semiHidden/>
    <w:unhideWhenUsed/>
    <w:qFormat/>
    <w:pPr>
      <w:spacing w:line="276" w:lineRule="auto"/>
    </w:pPr>
    <w:rPr>
      <w:rFonts w:ascii="Times New Roman" w:hAnsi="Times New Roman" w:cs="Times New Roman" w:eastAsiaTheme="minorEastAsia"/>
      <w:b/>
      <w:bCs/>
      <w:color w:val="4f81bd" w:themeColor="accent1"/>
      <w:sz w:val="18"/>
      <w:szCs w:val="18"/>
      <w:lang w:val="en-US" w:eastAsia="zh-CN" w:bidi="ar-SA"/>
      <w14:textFill>
        <w14:solidFill>
          <w14:schemeClr w14:val="accent1"/>
        </w14:solidFill>
      </w14:textFill>
    </w:rPr>
  </w:style>
  <w:style w:type="paragraph" w:styleId="689">
    <w:name w:val="Document Map"/>
    <w:basedOn w:val="674"/>
    <w:link w:val="876"/>
    <w:uiPriority w:val="99"/>
    <w:semiHidden/>
    <w:unhideWhenUsed/>
    <w:qFormat/>
    <w:pPr>
      <w:jc w:val="center"/>
      <w:spacing w:before="50" w:after="50" w:line="500" w:lineRule="exact"/>
      <w:widowControl w:val="off"/>
    </w:pPr>
    <w:rPr>
      <w:rFonts w:ascii="Microsoft YaHei UI" w:eastAsia="Microsoft YaHei UI" w:hAnsiTheme="minorHAnsi" w:cstheme="minorBidi"/>
      <w:sz w:val="18"/>
      <w:szCs w:val="18"/>
    </w:rPr>
  </w:style>
  <w:style w:type="paragraph" w:styleId="690">
    <w:name w:val="toa heading"/>
    <w:basedOn w:val="674"/>
    <w:next w:val="674"/>
    <w:uiPriority w:val="99"/>
    <w:unhideWhenUsed/>
    <w:qFormat/>
    <w:pPr>
      <w:spacing w:before="120"/>
    </w:pPr>
    <w:rPr>
      <w:rFonts w:ascii="Cambria" w:hAnsi="Cambria" w:eastAsia="宋体"/>
      <w:sz w:val="24"/>
      <w:szCs w:val="21"/>
    </w:rPr>
  </w:style>
  <w:style w:type="paragraph" w:styleId="691">
    <w:name w:val="annotation text"/>
    <w:basedOn w:val="674"/>
    <w:link w:val="877"/>
    <w:uiPriority w:val="0"/>
    <w:qFormat/>
    <w:pPr>
      <w:widowControl w:val="off"/>
    </w:pPr>
    <w:rPr>
      <w:rFonts w:asciiTheme="minorHAnsi" w:hAnsiTheme="minorHAnsi" w:cstheme="minorBidi"/>
      <w:sz w:val="21"/>
      <w:szCs w:val="24"/>
    </w:rPr>
  </w:style>
  <w:style w:type="paragraph" w:styleId="692">
    <w:name w:val="Body Text"/>
    <w:basedOn w:val="674"/>
    <w:next w:val="674"/>
    <w:link w:val="878"/>
    <w:uiPriority w:val="99"/>
    <w:unhideWhenUsed/>
    <w:qFormat/>
    <w:pPr>
      <w:jc w:val="both"/>
      <w:spacing w:after="120"/>
      <w:widowControl w:val="off"/>
    </w:pPr>
    <w:rPr>
      <w:rFonts w:ascii="Calibri" w:hAnsi="Calibri" w:cstheme="minorBidi"/>
      <w:sz w:val="21"/>
      <w:szCs w:val="22"/>
    </w:rPr>
  </w:style>
  <w:style w:type="paragraph" w:styleId="693">
    <w:name w:val="Body Text Indent"/>
    <w:basedOn w:val="674"/>
    <w:next w:val="694"/>
    <w:link w:val="879"/>
    <w:uiPriority w:val="0"/>
    <w:unhideWhenUsed/>
    <w:qFormat/>
    <w:pPr>
      <w:ind w:left="420"/>
      <w:jc w:val="both"/>
      <w:spacing w:after="120"/>
      <w:widowControl w:val="off"/>
    </w:pPr>
    <w:rPr>
      <w:rFonts w:ascii="Calibri" w:hAnsi="Calibri" w:eastAsia="Arial" w:cs="Arial"/>
      <w:sz w:val="21"/>
      <w:szCs w:val="24"/>
    </w:rPr>
  </w:style>
  <w:style w:type="paragraph" w:styleId="694">
    <w:name w:val="envelope return"/>
    <w:basedOn w:val="674"/>
    <w:uiPriority w:val="0"/>
    <w:unhideWhenUsed/>
    <w:qFormat/>
    <w:pPr>
      <w:jc w:val="both"/>
      <w:widowControl w:val="off"/>
    </w:pPr>
    <w:rPr>
      <w:rFonts w:ascii="Arial" w:hAnsi="Arial" w:eastAsia="Arial" w:cs="Arial"/>
      <w:sz w:val="21"/>
      <w:szCs w:val="24"/>
    </w:rPr>
  </w:style>
  <w:style w:type="paragraph" w:styleId="695">
    <w:name w:val="index 4"/>
    <w:basedOn w:val="674"/>
    <w:next w:val="674"/>
    <w:uiPriority w:val="0"/>
    <w:unhideWhenUsed/>
    <w:qFormat/>
    <w:pPr>
      <w:ind w:firstLine="840"/>
      <w:spacing w:line="360" w:lineRule="auto"/>
      <w:widowControl w:val="off"/>
    </w:pPr>
    <w:rPr>
      <w:rFonts w:ascii="宋体" w:hAnsi="宋体" w:eastAsia="宋体" w:cs="宋体"/>
      <w:sz w:val="22"/>
      <w:szCs w:val="24"/>
      <w:lang w:val="zh-CN" w:bidi="zh-CN"/>
    </w:rPr>
  </w:style>
  <w:style w:type="paragraph" w:styleId="696">
    <w:name w:val="toc 5"/>
    <w:next w:val="674"/>
    <w:uiPriority w:val="39"/>
    <w:unhideWhenUsed/>
    <w:qFormat/>
    <w:pPr>
      <w:ind w:left="1134"/>
      <w:spacing w:after="57"/>
    </w:pPr>
    <w:rPr>
      <w:rFonts w:ascii="Times New Roman" w:hAnsi="Times New Roman" w:cs="Times New Roman" w:eastAsiaTheme="minorEastAsia"/>
      <w:lang w:val="en-US" w:eastAsia="zh-CN" w:bidi="ar-SA"/>
    </w:rPr>
  </w:style>
  <w:style w:type="paragraph" w:styleId="697">
    <w:name w:val="toc 3"/>
    <w:next w:val="674"/>
    <w:uiPriority w:val="39"/>
    <w:unhideWhenUsed/>
    <w:qFormat/>
    <w:pPr>
      <w:ind w:left="567"/>
      <w:spacing w:after="57"/>
    </w:pPr>
    <w:rPr>
      <w:rFonts w:ascii="Times New Roman" w:hAnsi="Times New Roman" w:cs="Times New Roman" w:eastAsiaTheme="minorEastAsia"/>
      <w:lang w:val="en-US" w:eastAsia="zh-CN" w:bidi="ar-SA"/>
    </w:rPr>
  </w:style>
  <w:style w:type="paragraph" w:styleId="698">
    <w:name w:val="Plain Text"/>
    <w:basedOn w:val="674"/>
    <w:link w:val="880"/>
    <w:uiPriority w:val="0"/>
    <w:unhideWhenUsed/>
    <w:qFormat/>
    <w:pPr>
      <w:jc w:val="both"/>
      <w:widowControl w:val="off"/>
    </w:pPr>
    <w:rPr>
      <w:rFonts w:ascii="宋体" w:hAnsi="Courier New" w:cs="Courier New"/>
      <w:sz w:val="21"/>
      <w:szCs w:val="21"/>
    </w:rPr>
  </w:style>
  <w:style w:type="paragraph" w:styleId="699">
    <w:name w:val="toc 8"/>
    <w:next w:val="674"/>
    <w:uiPriority w:val="39"/>
    <w:unhideWhenUsed/>
    <w:qFormat/>
    <w:pPr>
      <w:ind w:left="1984"/>
      <w:spacing w:after="57"/>
    </w:pPr>
    <w:rPr>
      <w:rFonts w:ascii="Times New Roman" w:hAnsi="Times New Roman" w:cs="Times New Roman" w:eastAsiaTheme="minorEastAsia"/>
      <w:lang w:val="en-US" w:eastAsia="zh-CN" w:bidi="ar-SA"/>
    </w:rPr>
  </w:style>
  <w:style w:type="paragraph" w:styleId="700">
    <w:name w:val="endnote text"/>
    <w:link w:val="874"/>
    <w:uiPriority w:val="99"/>
    <w:unhideWhenUsed/>
    <w:qFormat/>
    <w:rPr>
      <w:rFonts w:ascii="Times New Roman" w:hAnsi="Times New Roman" w:cs="Times New Roman" w:eastAsiaTheme="minorEastAsia"/>
      <w:lang w:val="en-US" w:eastAsia="zh-CN" w:bidi="ar-SA"/>
    </w:rPr>
  </w:style>
  <w:style w:type="paragraph" w:styleId="701">
    <w:name w:val="Balloon Text"/>
    <w:basedOn w:val="674"/>
    <w:link w:val="881"/>
    <w:uiPriority w:val="99"/>
    <w:unhideWhenUsed/>
    <w:qFormat/>
    <w:pPr>
      <w:jc w:val="both"/>
      <w:widowControl w:val="off"/>
    </w:pPr>
    <w:rPr>
      <w:rFonts w:ascii="Calibri" w:hAnsi="Calibri" w:eastAsia="Arial" w:cs="Arial"/>
      <w:sz w:val="18"/>
      <w:szCs w:val="18"/>
    </w:rPr>
  </w:style>
  <w:style w:type="paragraph" w:styleId="702">
    <w:name w:val="Footer"/>
    <w:link w:val="766"/>
    <w:uiPriority w:val="99"/>
    <w:unhideWhenUsed/>
    <w:qFormat/>
    <w:pPr>
      <w:tabs>
        <w:tab w:val="center" w:pos="7143" w:leader="none"/>
        <w:tab w:val="right" w:pos="14287" w:leader="none"/>
      </w:tabs>
    </w:pPr>
    <w:rPr>
      <w:rFonts w:ascii="Times New Roman" w:hAnsi="Times New Roman" w:cs="Times New Roman" w:eastAsiaTheme="minorEastAsia"/>
      <w:lang w:val="en-US" w:eastAsia="zh-CN" w:bidi="ar-SA"/>
    </w:rPr>
  </w:style>
  <w:style w:type="paragraph" w:styleId="703">
    <w:name w:val="Header"/>
    <w:link w:val="764"/>
    <w:uiPriority w:val="99"/>
    <w:unhideWhenUsed/>
    <w:qFormat/>
    <w:pPr>
      <w:tabs>
        <w:tab w:val="center" w:pos="7143" w:leader="none"/>
        <w:tab w:val="right" w:pos="14287" w:leader="none"/>
      </w:tabs>
    </w:pPr>
    <w:rPr>
      <w:rFonts w:ascii="Times New Roman" w:hAnsi="Times New Roman" w:cs="Times New Roman" w:eastAsiaTheme="minorEastAsia"/>
      <w:lang w:val="en-US" w:eastAsia="zh-CN" w:bidi="ar-SA"/>
    </w:rPr>
  </w:style>
  <w:style w:type="paragraph" w:styleId="704">
    <w:name w:val="toc 1"/>
    <w:next w:val="674"/>
    <w:uiPriority w:val="39"/>
    <w:unhideWhenUsed/>
    <w:qFormat/>
    <w:pPr>
      <w:spacing w:after="57"/>
    </w:pPr>
    <w:rPr>
      <w:rFonts w:ascii="Times New Roman" w:hAnsi="Times New Roman" w:cs="Times New Roman" w:eastAsiaTheme="minorEastAsia"/>
      <w:lang w:val="en-US" w:eastAsia="zh-CN" w:bidi="ar-SA"/>
    </w:rPr>
  </w:style>
  <w:style w:type="paragraph" w:styleId="705">
    <w:name w:val="toc 4"/>
    <w:next w:val="674"/>
    <w:uiPriority w:val="39"/>
    <w:unhideWhenUsed/>
    <w:qFormat/>
    <w:pPr>
      <w:ind w:left="850"/>
      <w:spacing w:after="57"/>
    </w:pPr>
    <w:rPr>
      <w:rFonts w:ascii="Times New Roman" w:hAnsi="Times New Roman" w:cs="Times New Roman" w:eastAsiaTheme="minorEastAsia"/>
      <w:lang w:val="en-US" w:eastAsia="zh-CN" w:bidi="ar-SA"/>
    </w:rPr>
  </w:style>
  <w:style w:type="paragraph" w:styleId="706">
    <w:name w:val="Subtitle"/>
    <w:link w:val="759"/>
    <w:uiPriority w:val="11"/>
    <w:qFormat/>
    <w:pPr>
      <w:spacing w:before="200" w:after="200"/>
    </w:pPr>
    <w:rPr>
      <w:rFonts w:ascii="Times New Roman" w:hAnsi="Times New Roman" w:cs="Times New Roman" w:eastAsiaTheme="minorEastAsia"/>
      <w:sz w:val="24"/>
      <w:szCs w:val="24"/>
      <w:lang w:val="en-US" w:eastAsia="zh-CN" w:bidi="ar-SA"/>
    </w:rPr>
  </w:style>
  <w:style w:type="paragraph" w:styleId="707">
    <w:name w:val="footnote text"/>
    <w:link w:val="873"/>
    <w:uiPriority w:val="99"/>
    <w:unhideWhenUsed/>
    <w:qFormat/>
    <w:pPr>
      <w:spacing w:after="40"/>
    </w:pPr>
    <w:rPr>
      <w:rFonts w:ascii="Times New Roman" w:hAnsi="Times New Roman" w:cs="Times New Roman" w:eastAsiaTheme="minorEastAsia"/>
      <w:sz w:val="18"/>
      <w:lang w:val="en-US" w:eastAsia="zh-CN" w:bidi="ar-SA"/>
    </w:rPr>
  </w:style>
  <w:style w:type="paragraph" w:styleId="708">
    <w:name w:val="toc 6"/>
    <w:next w:val="674"/>
    <w:uiPriority w:val="39"/>
    <w:unhideWhenUsed/>
    <w:qFormat/>
    <w:pPr>
      <w:ind w:left="1417"/>
      <w:spacing w:after="57"/>
    </w:pPr>
    <w:rPr>
      <w:rFonts w:ascii="Times New Roman" w:hAnsi="Times New Roman" w:cs="Times New Roman" w:eastAsiaTheme="minorEastAsia"/>
      <w:lang w:val="en-US" w:eastAsia="zh-CN" w:bidi="ar-SA"/>
    </w:rPr>
  </w:style>
  <w:style w:type="paragraph" w:styleId="709">
    <w:name w:val="Body Text Indent 3"/>
    <w:basedOn w:val="674"/>
    <w:link w:val="882"/>
    <w:uiPriority w:val="99"/>
    <w:unhideWhenUsed/>
    <w:qFormat/>
    <w:pPr>
      <w:ind w:left="2"/>
      <w:jc w:val="both"/>
      <w:spacing w:line="400" w:lineRule="exact"/>
      <w:widowControl w:val="off"/>
    </w:pPr>
    <w:rPr>
      <w:rFonts w:ascii="Calibri" w:hAnsi="Calibri" w:eastAsia="Arial" w:cs="Arial"/>
    </w:rPr>
  </w:style>
  <w:style w:type="paragraph" w:styleId="710">
    <w:name w:val="index 9"/>
    <w:basedOn w:val="674"/>
    <w:next w:val="674"/>
    <w:uiPriority w:val="0"/>
    <w:unhideWhenUsed/>
    <w:qFormat/>
    <w:pPr>
      <w:ind w:left="1600"/>
      <w:jc w:val="both"/>
      <w:widowControl w:val="off"/>
    </w:pPr>
    <w:rPr>
      <w:rFonts w:eastAsia="Arial" w:cs="Arial"/>
      <w:sz w:val="21"/>
      <w:szCs w:val="24"/>
    </w:rPr>
  </w:style>
  <w:style w:type="paragraph" w:styleId="711">
    <w:name w:val="table of figures"/>
    <w:next w:val="674"/>
    <w:uiPriority w:val="99"/>
    <w:unhideWhenUsed/>
    <w:qFormat/>
    <w:rPr>
      <w:rFonts w:ascii="Times New Roman" w:hAnsi="Times New Roman" w:cs="Times New Roman" w:eastAsiaTheme="minorEastAsia"/>
      <w:lang w:val="en-US" w:eastAsia="zh-CN" w:bidi="ar-SA"/>
    </w:rPr>
  </w:style>
  <w:style w:type="paragraph" w:styleId="712">
    <w:name w:val="toc 2"/>
    <w:next w:val="674"/>
    <w:uiPriority w:val="39"/>
    <w:unhideWhenUsed/>
    <w:qFormat/>
    <w:pPr>
      <w:ind w:left="283"/>
      <w:spacing w:after="57"/>
    </w:pPr>
    <w:rPr>
      <w:rFonts w:ascii="Times New Roman" w:hAnsi="Times New Roman" w:cs="Times New Roman" w:eastAsiaTheme="minorEastAsia"/>
      <w:lang w:val="en-US" w:eastAsia="zh-CN" w:bidi="ar-SA"/>
    </w:rPr>
  </w:style>
  <w:style w:type="paragraph" w:styleId="713">
    <w:name w:val="toc 9"/>
    <w:next w:val="674"/>
    <w:uiPriority w:val="39"/>
    <w:unhideWhenUsed/>
    <w:qFormat/>
    <w:pPr>
      <w:ind w:left="2268"/>
      <w:spacing w:after="57"/>
    </w:pPr>
    <w:rPr>
      <w:rFonts w:ascii="Times New Roman" w:hAnsi="Times New Roman" w:cs="Times New Roman" w:eastAsiaTheme="minorEastAsia"/>
      <w:lang w:val="en-US" w:eastAsia="zh-CN" w:bidi="ar-SA"/>
    </w:rPr>
  </w:style>
  <w:style w:type="paragraph" w:styleId="714">
    <w:name w:val="Normal (Web)"/>
    <w:basedOn w:val="674"/>
    <w:uiPriority w:val="0"/>
    <w:qFormat/>
    <w:pPr>
      <w:spacing w:beforeAutospacing="1" w:afterAutospacing="1"/>
      <w:widowControl w:val="off"/>
    </w:pPr>
    <w:rPr>
      <w:rFonts w:asciiTheme="minorHAnsi" w:hAnsiTheme="minorHAnsi"/>
      <w:sz w:val="24"/>
      <w:szCs w:val="24"/>
    </w:rPr>
  </w:style>
  <w:style w:type="paragraph" w:styleId="715">
    <w:name w:val="Title"/>
    <w:link w:val="758"/>
    <w:uiPriority w:val="10"/>
    <w:qFormat/>
    <w:pPr>
      <w:contextualSpacing/>
      <w:spacing w:before="300" w:after="200"/>
    </w:pPr>
    <w:rPr>
      <w:rFonts w:ascii="Times New Roman" w:hAnsi="Times New Roman" w:cs="Times New Roman" w:eastAsiaTheme="minorEastAsia"/>
      <w:sz w:val="48"/>
      <w:szCs w:val="48"/>
      <w:lang w:val="en-US" w:eastAsia="zh-CN" w:bidi="ar-SA"/>
    </w:rPr>
  </w:style>
  <w:style w:type="paragraph" w:styleId="716">
    <w:name w:val="annotation subject"/>
    <w:basedOn w:val="691"/>
    <w:next w:val="691"/>
    <w:link w:val="883"/>
    <w:uiPriority w:val="0"/>
    <w:unhideWhenUsed/>
    <w:qFormat/>
    <w:rPr>
      <w:rFonts w:ascii="Calibri" w:hAnsi="Calibri" w:eastAsia="Arial" w:cs="Arial"/>
      <w:b/>
      <w:bCs/>
    </w:rPr>
  </w:style>
  <w:style w:type="paragraph" w:styleId="717">
    <w:name w:val="Body Text First Indent"/>
    <w:basedOn w:val="692"/>
    <w:link w:val="884"/>
    <w:uiPriority w:val="0"/>
    <w:unhideWhenUsed/>
    <w:qFormat/>
    <w:pPr>
      <w:ind w:firstLine="420"/>
      <w:spacing w:after="0"/>
    </w:pPr>
    <w:rPr>
      <w:rFonts w:ascii="楷体_GB2312" w:hAnsi="Arial" w:eastAsia="楷体_GB2312" w:cs="Arial"/>
      <w:sz w:val="28"/>
      <w:szCs w:val="20"/>
    </w:rPr>
  </w:style>
  <w:style w:type="paragraph" w:styleId="718">
    <w:name w:val="Body Text First Indent 2"/>
    <w:basedOn w:val="693"/>
    <w:next w:val="687"/>
    <w:link w:val="885"/>
    <w:uiPriority w:val="0"/>
    <w:unhideWhenUsed/>
    <w:qFormat/>
    <w:pPr>
      <w:ind w:left="0" w:firstLine="420"/>
      <w:spacing w:after="0" w:line="360" w:lineRule="auto"/>
    </w:pPr>
    <w:rPr>
      <w:rFonts w:ascii="宋体" w:hAnsi="宋体" w:eastAsia="宋体"/>
      <w:szCs w:val="20"/>
    </w:rPr>
  </w:style>
  <w:style w:type="table" w:styleId="719">
    <w:name w:val="Table Gri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Strong"/>
    <w:basedOn w:val="684"/>
    <w:uiPriority w:val="22"/>
    <w:qFormat/>
    <w:rPr>
      <w:b/>
      <w:bCs/>
    </w:rPr>
  </w:style>
  <w:style w:type="character" w:styleId="721">
    <w:name w:val="endnote reference"/>
    <w:uiPriority w:val="99"/>
    <w:unhideWhenUsed/>
    <w:qFormat/>
    <w:rPr>
      <w:vertAlign w:val="superscript"/>
    </w:rPr>
  </w:style>
  <w:style w:type="character" w:styleId="722">
    <w:name w:val="FollowedHyperlink"/>
    <w:basedOn w:val="684"/>
    <w:uiPriority w:val="99"/>
    <w:unhideWhenUsed/>
    <w:qFormat/>
    <w:rPr>
      <w:color w:val="800080" w:themeColor="followedHyperlink"/>
      <w:u w:val="single"/>
      <w14:textFill>
        <w14:solidFill>
          <w14:schemeClr w14:val="folHlink"/>
        </w14:solidFill>
      </w14:textFill>
    </w:rPr>
  </w:style>
  <w:style w:type="character" w:styleId="723">
    <w:name w:val="Hyperlink"/>
    <w:uiPriority w:val="99"/>
    <w:unhideWhenUsed/>
    <w:qFormat/>
    <w:rPr>
      <w:color w:val="0000ff" w:themeColor="hyperlink"/>
      <w:u w:val="single"/>
      <w14:textFill>
        <w14:solidFill>
          <w14:schemeClr w14:val="hlink"/>
        </w14:solidFill>
      </w14:textFill>
    </w:rPr>
  </w:style>
  <w:style w:type="character" w:styleId="724">
    <w:name w:val="annotation reference"/>
    <w:uiPriority w:val="0"/>
    <w:unhideWhenUsed/>
    <w:qFormat/>
    <w:rPr>
      <w:sz w:val="21"/>
      <w:szCs w:val="21"/>
    </w:rPr>
  </w:style>
  <w:style w:type="character" w:styleId="725">
    <w:name w:val="footnote reference"/>
    <w:uiPriority w:val="99"/>
    <w:unhideWhenUsed/>
    <w:qFormat/>
    <w:rPr>
      <w:vertAlign w:val="superscript"/>
    </w:rPr>
  </w:style>
  <w:style w:type="table" w:styleId="726" w:customStyle="1">
    <w:name w:val="无格式表格 11"/>
    <w:basedOn w:val="68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无格式表格 21"/>
    <w:basedOn w:val="68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customStyle="1">
    <w:name w:val="无格式表格 31"/>
    <w:basedOn w:val="68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customStyle="1">
    <w:name w:val="无格式表格 41"/>
    <w:basedOn w:val="68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customStyle="1">
    <w:name w:val="无格式表格 51"/>
    <w:basedOn w:val="685"/>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1" w:customStyle="1">
    <w:name w:val="网格表 1 浅色1"/>
    <w:basedOn w:val="68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2" w:customStyle="1">
    <w:name w:val="网格表 21"/>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网格表 31"/>
    <w:basedOn w:val="68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网格表 41"/>
    <w:basedOn w:val="68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customStyle="1">
    <w:name w:val="网格表 5 深色1"/>
    <w:basedOn w:val="68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网格表 6 彩色1"/>
    <w:basedOn w:val="68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7" w:customStyle="1">
    <w:name w:val="网格表 7 彩色1"/>
    <w:basedOn w:val="68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8" w:customStyle="1">
    <w:name w:val="清单表 1 浅色1"/>
    <w:basedOn w:val="68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customStyle="1">
    <w:name w:val="清单表 21"/>
    <w:basedOn w:val="68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0" w:customStyle="1">
    <w:name w:val="清单表 31"/>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清单表 41"/>
    <w:basedOn w:val="68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2" w:customStyle="1">
    <w:name w:val="清单表 5 深色1"/>
    <w:basedOn w:val="68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3" w:customStyle="1">
    <w:name w:val="清单表 6 彩色1"/>
    <w:basedOn w:val="68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4" w:customStyle="1">
    <w:name w:val="清单表 7 彩色1"/>
    <w:basedOn w:val="68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5" w:customStyle="1">
    <w:name w:val="TOC 标题1"/>
    <w:uiPriority w:val="39"/>
    <w:unhideWhenUsed/>
    <w:qFormat/>
    <w:rPr>
      <w:rFonts w:ascii="Times New Roman" w:hAnsi="Times New Roman" w:cs="Times New Roman" w:eastAsiaTheme="minorEastAsia"/>
      <w:lang w:val="en-US" w:eastAsia="zh-CN" w:bidi="ar-SA"/>
    </w:rPr>
  </w:style>
  <w:style w:type="paragraph" w:styleId="746" w:customStyle="1">
    <w:name w:val="TOC 标题113"/>
    <w:uiPriority w:val="39"/>
    <w:unhideWhenUsed/>
    <w:qFormat/>
    <w:rPr>
      <w:rFonts w:ascii="Times New Roman" w:hAnsi="Times New Roman" w:cs="Times New Roman" w:eastAsiaTheme="minorEastAsia"/>
      <w:lang w:val="en-US" w:eastAsia="zh-CN" w:bidi="ar-SA"/>
    </w:rPr>
  </w:style>
  <w:style w:type="character" w:styleId="747" w:customStyle="1">
    <w:name w:val="标题 1 字符"/>
    <w:link w:val="675"/>
    <w:uiPriority w:val="9"/>
    <w:qFormat/>
    <w:rPr>
      <w:rFonts w:ascii="Arial" w:hAnsi="Arial" w:eastAsia="Arial" w:cs="Arial"/>
      <w:sz w:val="40"/>
      <w:szCs w:val="40"/>
    </w:rPr>
  </w:style>
  <w:style w:type="character" w:styleId="748" w:customStyle="1">
    <w:name w:val="标题 2 字符"/>
    <w:link w:val="676"/>
    <w:uiPriority w:val="9"/>
    <w:qFormat/>
    <w:rPr>
      <w:rFonts w:ascii="Arial" w:hAnsi="Arial" w:eastAsia="Arial" w:cs="Arial"/>
      <w:sz w:val="34"/>
    </w:rPr>
  </w:style>
  <w:style w:type="character" w:styleId="749" w:customStyle="1">
    <w:name w:val="标题 3 字符"/>
    <w:link w:val="677"/>
    <w:uiPriority w:val="0"/>
    <w:qFormat/>
    <w:rPr>
      <w:rFonts w:ascii="Arial" w:hAnsi="Arial" w:eastAsia="Arial" w:cs="Arial"/>
      <w:sz w:val="30"/>
      <w:szCs w:val="30"/>
    </w:rPr>
  </w:style>
  <w:style w:type="character" w:styleId="750" w:customStyle="1">
    <w:name w:val="标题 4 字符"/>
    <w:link w:val="678"/>
    <w:uiPriority w:val="9"/>
    <w:qFormat/>
    <w:rPr>
      <w:rFonts w:ascii="Arial" w:hAnsi="Arial" w:eastAsia="Arial" w:cs="Arial"/>
      <w:b/>
      <w:bCs/>
      <w:sz w:val="26"/>
      <w:szCs w:val="26"/>
    </w:rPr>
  </w:style>
  <w:style w:type="character" w:styleId="751" w:customStyle="1">
    <w:name w:val="标题 5 字符"/>
    <w:link w:val="679"/>
    <w:uiPriority w:val="9"/>
    <w:qFormat/>
    <w:rPr>
      <w:rFonts w:ascii="Arial" w:hAnsi="Arial" w:eastAsia="Arial" w:cs="Arial"/>
      <w:b/>
      <w:bCs/>
      <w:sz w:val="24"/>
      <w:szCs w:val="24"/>
    </w:rPr>
  </w:style>
  <w:style w:type="character" w:styleId="752" w:customStyle="1">
    <w:name w:val="标题 6 字符"/>
    <w:link w:val="680"/>
    <w:uiPriority w:val="9"/>
    <w:qFormat/>
    <w:rPr>
      <w:rFonts w:ascii="Arial" w:hAnsi="Arial" w:eastAsia="Arial" w:cs="Arial"/>
      <w:b/>
      <w:bCs/>
      <w:sz w:val="22"/>
      <w:szCs w:val="22"/>
    </w:rPr>
  </w:style>
  <w:style w:type="character" w:styleId="753" w:customStyle="1">
    <w:name w:val="标题 7 字符"/>
    <w:link w:val="681"/>
    <w:uiPriority w:val="9"/>
    <w:qFormat/>
    <w:rPr>
      <w:rFonts w:ascii="Arial" w:hAnsi="Arial" w:eastAsia="Arial" w:cs="Arial"/>
      <w:b/>
      <w:bCs/>
      <w:i/>
      <w:iCs/>
      <w:sz w:val="22"/>
      <w:szCs w:val="22"/>
    </w:rPr>
  </w:style>
  <w:style w:type="character" w:styleId="754" w:customStyle="1">
    <w:name w:val="标题 8 字符"/>
    <w:link w:val="682"/>
    <w:uiPriority w:val="9"/>
    <w:qFormat/>
    <w:rPr>
      <w:rFonts w:ascii="Arial" w:hAnsi="Arial" w:eastAsia="Arial" w:cs="Arial"/>
      <w:i/>
      <w:iCs/>
      <w:sz w:val="22"/>
      <w:szCs w:val="22"/>
    </w:rPr>
  </w:style>
  <w:style w:type="character" w:styleId="755" w:customStyle="1">
    <w:name w:val="标题 9 字符"/>
    <w:link w:val="683"/>
    <w:uiPriority w:val="9"/>
    <w:qFormat/>
    <w:rPr>
      <w:rFonts w:ascii="Arial" w:hAnsi="Arial" w:eastAsia="Arial" w:cs="Arial"/>
      <w:i/>
      <w:iCs/>
      <w:sz w:val="21"/>
      <w:szCs w:val="21"/>
    </w:rPr>
  </w:style>
  <w:style w:type="paragraph" w:styleId="756">
    <w:name w:val="List Paragraph"/>
    <w:uiPriority w:val="34"/>
    <w:qFormat/>
    <w:pPr>
      <w:contextualSpacing/>
      <w:ind w:left="720"/>
    </w:pPr>
    <w:rPr>
      <w:rFonts w:ascii="Times New Roman" w:hAnsi="Times New Roman" w:cs="Times New Roman" w:eastAsiaTheme="minorEastAsia"/>
      <w:lang w:val="en-US" w:eastAsia="zh-CN" w:bidi="ar-SA"/>
    </w:rPr>
  </w:style>
  <w:style w:type="paragraph" w:styleId="757">
    <w:name w:val="No Spacing"/>
    <w:uiPriority w:val="1"/>
    <w:qFormat/>
    <w:rPr>
      <w:rFonts w:ascii="Times New Roman" w:hAnsi="Times New Roman" w:cs="Times New Roman" w:eastAsiaTheme="minorEastAsia"/>
      <w:lang w:val="en-US" w:eastAsia="zh-CN" w:bidi="ar-SA"/>
    </w:rPr>
  </w:style>
  <w:style w:type="character" w:styleId="758" w:customStyle="1">
    <w:name w:val="标题 字符"/>
    <w:link w:val="715"/>
    <w:uiPriority w:val="10"/>
    <w:qFormat/>
    <w:rPr>
      <w:sz w:val="48"/>
      <w:szCs w:val="48"/>
    </w:rPr>
  </w:style>
  <w:style w:type="character" w:styleId="759" w:customStyle="1">
    <w:name w:val="副标题 字符"/>
    <w:link w:val="706"/>
    <w:uiPriority w:val="11"/>
    <w:qFormat/>
    <w:rPr>
      <w:sz w:val="24"/>
      <w:szCs w:val="24"/>
    </w:rPr>
  </w:style>
  <w:style w:type="paragraph" w:styleId="760">
    <w:name w:val="Quote"/>
    <w:link w:val="761"/>
    <w:uiPriority w:val="29"/>
    <w:qFormat/>
    <w:pPr>
      <w:ind w:left="720" w:right="720"/>
    </w:pPr>
    <w:rPr>
      <w:rFonts w:ascii="Times New Roman" w:hAnsi="Times New Roman" w:cs="Times New Roman" w:eastAsiaTheme="minorEastAsia"/>
      <w:i/>
      <w:lang w:val="en-US" w:eastAsia="zh-CN" w:bidi="ar-SA"/>
    </w:rPr>
  </w:style>
  <w:style w:type="character" w:styleId="761" w:customStyle="1">
    <w:name w:val="引用 字符"/>
    <w:link w:val="760"/>
    <w:uiPriority w:val="29"/>
    <w:qFormat/>
    <w:rPr>
      <w:i/>
    </w:rPr>
  </w:style>
  <w:style w:type="paragraph" w:styleId="762">
    <w:name w:val="Intense Quote"/>
    <w:link w:val="7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eastAsiaTheme="minorEastAsia"/>
      <w:i/>
      <w:lang w:val="en-US" w:eastAsia="zh-CN" w:bidi="ar-SA"/>
    </w:rPr>
  </w:style>
  <w:style w:type="character" w:styleId="763" w:customStyle="1">
    <w:name w:val="明显引用 字符"/>
    <w:link w:val="762"/>
    <w:uiPriority w:val="30"/>
    <w:qFormat/>
    <w:rPr>
      <w:i/>
    </w:rPr>
  </w:style>
  <w:style w:type="character" w:styleId="764" w:customStyle="1">
    <w:name w:val="页眉 字符"/>
    <w:link w:val="703"/>
    <w:uiPriority w:val="99"/>
    <w:qFormat/>
  </w:style>
  <w:style w:type="character" w:styleId="765" w:customStyle="1">
    <w:name w:val="Footer Char"/>
    <w:uiPriority w:val="99"/>
    <w:qFormat/>
  </w:style>
  <w:style w:type="character" w:styleId="766" w:customStyle="1">
    <w:name w:val="页脚 字符"/>
    <w:link w:val="702"/>
    <w:uiPriority w:val="99"/>
    <w:qFormat/>
  </w:style>
  <w:style w:type="table" w:styleId="76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3" w:customStyle="1">
    <w:name w:val="脚注文本 字符"/>
    <w:link w:val="707"/>
    <w:uiPriority w:val="99"/>
    <w:qFormat/>
    <w:rPr>
      <w:sz w:val="18"/>
    </w:rPr>
  </w:style>
  <w:style w:type="character" w:styleId="874" w:customStyle="1">
    <w:name w:val="尾注文本 字符"/>
    <w:link w:val="700"/>
    <w:uiPriority w:val="99"/>
    <w:qFormat/>
    <w:rPr>
      <w:sz w:val="20"/>
    </w:rPr>
  </w:style>
  <w:style w:type="paragraph" w:styleId="875" w:customStyle="1">
    <w:name w:val="TOC 标题112"/>
    <w:uiPriority w:val="39"/>
    <w:unhideWhenUsed/>
    <w:qFormat/>
    <w:rPr>
      <w:rFonts w:ascii="Times New Roman" w:hAnsi="Times New Roman" w:cs="Times New Roman" w:eastAsiaTheme="minorEastAsia"/>
      <w:lang w:val="en-US" w:eastAsia="zh-CN" w:bidi="ar-SA"/>
    </w:rPr>
  </w:style>
  <w:style w:type="character" w:styleId="876" w:customStyle="1">
    <w:name w:val="文档结构图 字符"/>
    <w:basedOn w:val="684"/>
    <w:link w:val="689"/>
    <w:uiPriority w:val="99"/>
    <w:semiHidden/>
    <w:qFormat/>
    <w:rPr>
      <w:rFonts w:ascii="Microsoft YaHei UI" w:eastAsia="Microsoft YaHei UI" w:hAnsiTheme="minorHAnsi" w:cstheme="minorBidi"/>
      <w:sz w:val="18"/>
      <w:szCs w:val="18"/>
    </w:rPr>
  </w:style>
  <w:style w:type="character" w:styleId="877" w:customStyle="1">
    <w:name w:val="批注文字 字符"/>
    <w:basedOn w:val="684"/>
    <w:link w:val="691"/>
    <w:uiPriority w:val="0"/>
    <w:qFormat/>
    <w:rPr>
      <w:rFonts w:asciiTheme="minorHAnsi" w:hAnsiTheme="minorHAnsi" w:cstheme="minorBidi"/>
      <w:sz w:val="21"/>
      <w:szCs w:val="24"/>
    </w:rPr>
  </w:style>
  <w:style w:type="character" w:styleId="878" w:customStyle="1">
    <w:name w:val="正文文本 字符"/>
    <w:basedOn w:val="684"/>
    <w:link w:val="692"/>
    <w:uiPriority w:val="99"/>
    <w:qFormat/>
    <w:rPr>
      <w:rFonts w:ascii="Calibri" w:hAnsi="Calibri" w:cstheme="minorBidi"/>
      <w:sz w:val="21"/>
      <w:szCs w:val="22"/>
    </w:rPr>
  </w:style>
  <w:style w:type="character" w:styleId="879" w:customStyle="1">
    <w:name w:val="正文文本缩进 字符"/>
    <w:basedOn w:val="684"/>
    <w:link w:val="693"/>
    <w:uiPriority w:val="0"/>
    <w:qFormat/>
    <w:rPr>
      <w:rFonts w:ascii="Calibri" w:hAnsi="Calibri" w:eastAsia="Arial" w:cs="Arial"/>
      <w:sz w:val="21"/>
      <w:szCs w:val="24"/>
    </w:rPr>
  </w:style>
  <w:style w:type="character" w:styleId="880" w:customStyle="1">
    <w:name w:val="纯文本 字符"/>
    <w:basedOn w:val="684"/>
    <w:link w:val="698"/>
    <w:uiPriority w:val="0"/>
    <w:qFormat/>
    <w:rPr>
      <w:rFonts w:ascii="宋体" w:hAnsi="Courier New" w:cs="Courier New"/>
      <w:sz w:val="21"/>
      <w:szCs w:val="21"/>
    </w:rPr>
  </w:style>
  <w:style w:type="character" w:styleId="881" w:customStyle="1">
    <w:name w:val="批注框文本 字符"/>
    <w:basedOn w:val="684"/>
    <w:link w:val="701"/>
    <w:uiPriority w:val="99"/>
    <w:qFormat/>
    <w:rPr>
      <w:rFonts w:ascii="Calibri" w:hAnsi="Calibri" w:eastAsia="Arial" w:cs="Arial"/>
      <w:sz w:val="18"/>
      <w:szCs w:val="18"/>
    </w:rPr>
  </w:style>
  <w:style w:type="character" w:styleId="882" w:customStyle="1">
    <w:name w:val="正文文本缩进 3 字符"/>
    <w:basedOn w:val="684"/>
    <w:link w:val="709"/>
    <w:uiPriority w:val="99"/>
    <w:qFormat/>
    <w:rPr>
      <w:rFonts w:ascii="Calibri" w:hAnsi="Calibri" w:eastAsia="Arial" w:cs="Arial"/>
    </w:rPr>
  </w:style>
  <w:style w:type="character" w:styleId="883" w:customStyle="1">
    <w:name w:val="批注主题 字符"/>
    <w:basedOn w:val="877"/>
    <w:link w:val="716"/>
    <w:uiPriority w:val="0"/>
    <w:qFormat/>
    <w:rPr>
      <w:rFonts w:ascii="Calibri" w:hAnsi="Calibri" w:eastAsia="Arial" w:cs="Arial"/>
      <w:b/>
      <w:bCs/>
      <w:sz w:val="21"/>
      <w:szCs w:val="24"/>
    </w:rPr>
  </w:style>
  <w:style w:type="character" w:styleId="884" w:customStyle="1">
    <w:name w:val="正文文本首行缩进 字符"/>
    <w:basedOn w:val="878"/>
    <w:link w:val="717"/>
    <w:uiPriority w:val="0"/>
    <w:qFormat/>
    <w:rPr>
      <w:rFonts w:ascii="楷体_GB2312" w:hAnsi="Arial" w:eastAsia="楷体_GB2312" w:cs="Arial"/>
      <w:sz w:val="28"/>
      <w:szCs w:val="22"/>
    </w:rPr>
  </w:style>
  <w:style w:type="character" w:styleId="885" w:customStyle="1">
    <w:name w:val="正文文本首行缩进 2 字符"/>
    <w:basedOn w:val="879"/>
    <w:link w:val="718"/>
    <w:uiPriority w:val="0"/>
    <w:qFormat/>
    <w:rPr>
      <w:rFonts w:ascii="宋体" w:hAnsi="宋体" w:eastAsia="宋体" w:cs="Arial"/>
      <w:sz w:val="21"/>
      <w:szCs w:val="24"/>
    </w:rPr>
  </w:style>
  <w:style w:type="character" w:styleId="886" w:customStyle="1">
    <w:name w:val="正文缩进 字符"/>
    <w:link w:val="687"/>
    <w:uiPriority w:val="0"/>
    <w:qFormat/>
    <w:rPr>
      <w:rFonts w:ascii="Calibri" w:hAnsi="Calibri" w:eastAsia="Arial" w:cs="Arial"/>
      <w:sz w:val="21"/>
    </w:rPr>
  </w:style>
  <w:style w:type="paragraph" w:styleId="887" w:customStyle="1">
    <w:name w:val="题注1"/>
    <w:basedOn w:val="674"/>
    <w:next w:val="674"/>
    <w:uiPriority w:val="35"/>
    <w:semiHidden/>
    <w:unhideWhenUsed/>
    <w:qFormat/>
    <w:pPr>
      <w:jc w:val="both"/>
      <w:spacing w:line="276" w:lineRule="auto"/>
      <w:widowControl w:val="off"/>
    </w:pPr>
    <w:rPr>
      <w:rFonts w:asciiTheme="minorHAnsi" w:hAnsiTheme="minorHAnsi" w:cstheme="minorBidi"/>
      <w:b/>
      <w:bCs/>
      <w:color w:val="4f81bd" w:themeColor="accent1"/>
      <w:sz w:val="18"/>
      <w:szCs w:val="18"/>
      <w14:textFill>
        <w14:solidFill>
          <w14:schemeClr w14:val="accent1"/>
        </w14:solidFill>
      </w14:textFill>
    </w:rPr>
  </w:style>
  <w:style w:type="paragraph" w:styleId="888" w:customStyle="1">
    <w:name w:val="TOC 标题111"/>
    <w:uiPriority w:val="39"/>
    <w:unhideWhenUsed/>
    <w:qFormat/>
    <w:rPr>
      <w:rFonts w:ascii="Times New Roman" w:hAnsi="Times New Roman" w:eastAsia="宋体" w:cs="Times New Roman"/>
      <w:lang w:val="en-US" w:eastAsia="zh-CN" w:bidi="ar-SA"/>
    </w:rPr>
  </w:style>
  <w:style w:type="paragraph" w:styleId="889" w:customStyle="1">
    <w:name w:val="标题 11"/>
    <w:basedOn w:val="674"/>
    <w:next w:val="674"/>
    <w:link w:val="890"/>
    <w:uiPriority w:val="9"/>
    <w:qFormat/>
    <w:pPr>
      <w:jc w:val="both"/>
      <w:keepNext/>
      <w:widowControl w:val="off"/>
      <w:outlineLvl w:val="0"/>
    </w:pPr>
    <w:rPr>
      <w:rFonts w:ascii="楷体_GB2312" w:hAnsi="Calibri" w:eastAsia="楷体_GB2312" w:cs="Arial"/>
      <w:sz w:val="28"/>
    </w:rPr>
  </w:style>
  <w:style w:type="character" w:styleId="890" w:customStyle="1">
    <w:name w:val="标题 1 Char"/>
    <w:basedOn w:val="684"/>
    <w:link w:val="889"/>
    <w:uiPriority w:val="9"/>
    <w:qFormat/>
    <w:rPr>
      <w:rFonts w:ascii="楷体_GB2312" w:hAnsi="Calibri" w:eastAsia="楷体_GB2312" w:cs="Arial"/>
      <w:sz w:val="28"/>
    </w:rPr>
  </w:style>
  <w:style w:type="paragraph" w:styleId="891" w:customStyle="1">
    <w:name w:val="标题 21"/>
    <w:basedOn w:val="674"/>
    <w:next w:val="674"/>
    <w:link w:val="892"/>
    <w:uiPriority w:val="9"/>
    <w:unhideWhenUsed/>
    <w:qFormat/>
    <w:pPr>
      <w:spacing w:beforeAutospacing="1" w:afterAutospacing="1"/>
      <w:widowControl w:val="off"/>
      <w:outlineLvl w:val="1"/>
    </w:pPr>
    <w:rPr>
      <w:rFonts w:ascii="宋体" w:hAnsi="宋体" w:eastAsia="宋体"/>
      <w:b/>
      <w:bCs/>
      <w:sz w:val="36"/>
      <w:szCs w:val="36"/>
    </w:rPr>
  </w:style>
  <w:style w:type="character" w:styleId="892" w:customStyle="1">
    <w:name w:val="标题 2 Char"/>
    <w:basedOn w:val="684"/>
    <w:link w:val="891"/>
    <w:uiPriority w:val="9"/>
    <w:qFormat/>
    <w:rPr>
      <w:rFonts w:ascii="宋体" w:hAnsi="宋体" w:eastAsia="宋体"/>
      <w:b/>
      <w:bCs/>
      <w:sz w:val="36"/>
      <w:szCs w:val="36"/>
    </w:rPr>
  </w:style>
  <w:style w:type="paragraph" w:styleId="893" w:customStyle="1">
    <w:name w:val="标题 31"/>
    <w:basedOn w:val="674"/>
    <w:next w:val="674"/>
    <w:link w:val="894"/>
    <w:uiPriority w:val="0"/>
    <w:semiHidden/>
    <w:unhideWhenUsed/>
    <w:qFormat/>
    <w:pPr>
      <w:jc w:val="both"/>
      <w:keepLines/>
      <w:keepNext/>
      <w:spacing w:before="260" w:after="260" w:line="415" w:lineRule="auto"/>
      <w:widowControl w:val="off"/>
      <w:outlineLvl w:val="2"/>
    </w:pPr>
    <w:rPr>
      <w:rFonts w:ascii="Calibri" w:hAnsi="Calibri" w:eastAsia="Arial" w:cs="Arial"/>
      <w:b/>
      <w:sz w:val="32"/>
    </w:rPr>
  </w:style>
  <w:style w:type="character" w:styleId="894" w:customStyle="1">
    <w:name w:val="标题 3 Char"/>
    <w:basedOn w:val="684"/>
    <w:link w:val="893"/>
    <w:uiPriority w:val="0"/>
    <w:semiHidden/>
    <w:qFormat/>
    <w:rPr>
      <w:rFonts w:ascii="Calibri" w:hAnsi="Calibri" w:eastAsia="Arial" w:cs="Arial"/>
      <w:b/>
      <w:sz w:val="32"/>
    </w:rPr>
  </w:style>
  <w:style w:type="paragraph" w:styleId="895" w:customStyle="1">
    <w:name w:val="标题 41"/>
    <w:basedOn w:val="674"/>
    <w:next w:val="674"/>
    <w:link w:val="896"/>
    <w:uiPriority w:val="9"/>
    <w:semiHidden/>
    <w:unhideWhenUsed/>
    <w:qFormat/>
    <w:pPr>
      <w:jc w:val="both"/>
      <w:keepLines/>
      <w:keepNext/>
      <w:spacing w:before="320" w:after="200"/>
      <w:widowControl w:val="off"/>
      <w:outlineLvl w:val="3"/>
    </w:pPr>
    <w:rPr>
      <w:rFonts w:ascii="Arial" w:hAnsi="Arial" w:eastAsia="Arial" w:cs="Arial"/>
      <w:b/>
      <w:bCs/>
      <w:sz w:val="26"/>
      <w:szCs w:val="26"/>
    </w:rPr>
  </w:style>
  <w:style w:type="character" w:styleId="896" w:customStyle="1">
    <w:name w:val="标题 4 Char"/>
    <w:basedOn w:val="684"/>
    <w:link w:val="895"/>
    <w:uiPriority w:val="9"/>
    <w:semiHidden/>
    <w:qFormat/>
    <w:rPr>
      <w:rFonts w:ascii="Arial" w:hAnsi="Arial" w:eastAsia="Arial" w:cs="Arial"/>
      <w:b/>
      <w:bCs/>
      <w:sz w:val="26"/>
      <w:szCs w:val="26"/>
    </w:rPr>
  </w:style>
  <w:style w:type="paragraph" w:styleId="897" w:customStyle="1">
    <w:name w:val="标题 51"/>
    <w:basedOn w:val="674"/>
    <w:next w:val="674"/>
    <w:link w:val="898"/>
    <w:uiPriority w:val="9"/>
    <w:semiHidden/>
    <w:unhideWhenUsed/>
    <w:qFormat/>
    <w:pPr>
      <w:jc w:val="both"/>
      <w:keepLines/>
      <w:keepNext/>
      <w:spacing w:before="320" w:after="200"/>
      <w:widowControl w:val="off"/>
      <w:outlineLvl w:val="4"/>
    </w:pPr>
    <w:rPr>
      <w:rFonts w:ascii="Arial" w:hAnsi="Arial" w:eastAsia="Arial" w:cs="Arial"/>
      <w:b/>
      <w:bCs/>
      <w:sz w:val="24"/>
      <w:szCs w:val="24"/>
    </w:rPr>
  </w:style>
  <w:style w:type="character" w:styleId="898" w:customStyle="1">
    <w:name w:val="标题 5 Char"/>
    <w:basedOn w:val="684"/>
    <w:link w:val="897"/>
    <w:uiPriority w:val="9"/>
    <w:semiHidden/>
    <w:qFormat/>
    <w:rPr>
      <w:rFonts w:ascii="Arial" w:hAnsi="Arial" w:eastAsia="Arial" w:cs="Arial"/>
      <w:b/>
      <w:bCs/>
      <w:sz w:val="24"/>
      <w:szCs w:val="24"/>
    </w:rPr>
  </w:style>
  <w:style w:type="paragraph" w:styleId="899" w:customStyle="1">
    <w:name w:val="标题 61"/>
    <w:basedOn w:val="674"/>
    <w:next w:val="674"/>
    <w:link w:val="900"/>
    <w:uiPriority w:val="9"/>
    <w:semiHidden/>
    <w:unhideWhenUsed/>
    <w:qFormat/>
    <w:pPr>
      <w:jc w:val="both"/>
      <w:keepLines/>
      <w:keepNext/>
      <w:spacing w:before="320" w:after="200"/>
      <w:widowControl w:val="off"/>
      <w:outlineLvl w:val="5"/>
    </w:pPr>
    <w:rPr>
      <w:rFonts w:ascii="Arial" w:hAnsi="Arial" w:eastAsia="Arial" w:cs="Arial"/>
      <w:b/>
      <w:bCs/>
      <w:sz w:val="22"/>
      <w:szCs w:val="22"/>
    </w:rPr>
  </w:style>
  <w:style w:type="character" w:styleId="900" w:customStyle="1">
    <w:name w:val="标题 6 Char"/>
    <w:basedOn w:val="684"/>
    <w:link w:val="899"/>
    <w:uiPriority w:val="9"/>
    <w:semiHidden/>
    <w:qFormat/>
    <w:rPr>
      <w:rFonts w:ascii="Arial" w:hAnsi="Arial" w:eastAsia="Arial" w:cs="Arial"/>
      <w:b/>
      <w:bCs/>
      <w:sz w:val="22"/>
      <w:szCs w:val="22"/>
    </w:rPr>
  </w:style>
  <w:style w:type="paragraph" w:styleId="901" w:customStyle="1">
    <w:name w:val="标题 71"/>
    <w:basedOn w:val="674"/>
    <w:next w:val="674"/>
    <w:link w:val="902"/>
    <w:uiPriority w:val="9"/>
    <w:semiHidden/>
    <w:unhideWhenUsed/>
    <w:qFormat/>
    <w:pPr>
      <w:jc w:val="both"/>
      <w:keepLines/>
      <w:keepNext/>
      <w:spacing w:before="320" w:after="200"/>
      <w:widowControl w:val="off"/>
      <w:outlineLvl w:val="6"/>
    </w:pPr>
    <w:rPr>
      <w:rFonts w:ascii="Arial" w:hAnsi="Arial" w:eastAsia="Arial" w:cs="Arial"/>
      <w:b/>
      <w:bCs/>
      <w:i/>
      <w:iCs/>
      <w:sz w:val="22"/>
      <w:szCs w:val="22"/>
    </w:rPr>
  </w:style>
  <w:style w:type="character" w:styleId="902" w:customStyle="1">
    <w:name w:val="标题 7 Char"/>
    <w:basedOn w:val="684"/>
    <w:link w:val="901"/>
    <w:uiPriority w:val="9"/>
    <w:semiHidden/>
    <w:qFormat/>
    <w:rPr>
      <w:rFonts w:ascii="Arial" w:hAnsi="Arial" w:eastAsia="Arial" w:cs="Arial"/>
      <w:b/>
      <w:bCs/>
      <w:i/>
      <w:iCs/>
      <w:sz w:val="22"/>
      <w:szCs w:val="22"/>
    </w:rPr>
  </w:style>
  <w:style w:type="paragraph" w:styleId="903" w:customStyle="1">
    <w:name w:val="标题 81"/>
    <w:basedOn w:val="674"/>
    <w:next w:val="674"/>
    <w:link w:val="904"/>
    <w:uiPriority w:val="9"/>
    <w:semiHidden/>
    <w:unhideWhenUsed/>
    <w:qFormat/>
    <w:pPr>
      <w:jc w:val="both"/>
      <w:keepLines/>
      <w:keepNext/>
      <w:spacing w:before="320" w:after="200"/>
      <w:widowControl w:val="off"/>
      <w:outlineLvl w:val="7"/>
    </w:pPr>
    <w:rPr>
      <w:rFonts w:ascii="Arial" w:hAnsi="Arial" w:eastAsia="Arial" w:cs="Arial"/>
      <w:i/>
      <w:iCs/>
      <w:sz w:val="22"/>
      <w:szCs w:val="22"/>
    </w:rPr>
  </w:style>
  <w:style w:type="character" w:styleId="904" w:customStyle="1">
    <w:name w:val="标题 8 Char"/>
    <w:basedOn w:val="684"/>
    <w:link w:val="903"/>
    <w:uiPriority w:val="9"/>
    <w:semiHidden/>
    <w:qFormat/>
    <w:rPr>
      <w:rFonts w:ascii="Arial" w:hAnsi="Arial" w:eastAsia="Arial" w:cs="Arial"/>
      <w:i/>
      <w:iCs/>
      <w:sz w:val="22"/>
      <w:szCs w:val="22"/>
    </w:rPr>
  </w:style>
  <w:style w:type="paragraph" w:styleId="905" w:customStyle="1">
    <w:name w:val="标题 91"/>
    <w:basedOn w:val="674"/>
    <w:next w:val="674"/>
    <w:link w:val="906"/>
    <w:uiPriority w:val="9"/>
    <w:semiHidden/>
    <w:unhideWhenUsed/>
    <w:qFormat/>
    <w:pPr>
      <w:jc w:val="both"/>
      <w:keepLines/>
      <w:keepNext/>
      <w:spacing w:before="320" w:after="200"/>
      <w:widowControl w:val="off"/>
      <w:outlineLvl w:val="8"/>
    </w:pPr>
    <w:rPr>
      <w:rFonts w:ascii="Arial" w:hAnsi="Arial" w:eastAsia="Arial" w:cs="Arial"/>
      <w:i/>
      <w:iCs/>
      <w:sz w:val="21"/>
      <w:szCs w:val="21"/>
    </w:rPr>
  </w:style>
  <w:style w:type="character" w:styleId="906" w:customStyle="1">
    <w:name w:val="标题 9 Char"/>
    <w:basedOn w:val="684"/>
    <w:link w:val="905"/>
    <w:uiPriority w:val="9"/>
    <w:semiHidden/>
    <w:qFormat/>
    <w:rPr>
      <w:rFonts w:ascii="Arial" w:hAnsi="Arial" w:eastAsia="Arial" w:cs="Arial"/>
      <w:i/>
      <w:iCs/>
      <w:sz w:val="21"/>
      <w:szCs w:val="21"/>
    </w:rPr>
  </w:style>
  <w:style w:type="paragraph" w:styleId="907" w:customStyle="1">
    <w:name w:val="页脚1"/>
    <w:basedOn w:val="674"/>
    <w:link w:val="908"/>
    <w:uiPriority w:val="99"/>
    <w:qFormat/>
    <w:pPr>
      <w:widowControl w:val="off"/>
      <w:tabs>
        <w:tab w:val="center" w:pos="4153" w:leader="none"/>
        <w:tab w:val="right" w:pos="8306" w:leader="none"/>
      </w:tabs>
    </w:pPr>
    <w:rPr>
      <w:rFonts w:asciiTheme="minorHAnsi" w:hAnsiTheme="minorHAnsi" w:cstheme="minorBidi"/>
      <w:sz w:val="18"/>
      <w:szCs w:val="18"/>
    </w:rPr>
  </w:style>
  <w:style w:type="character" w:styleId="908" w:customStyle="1">
    <w:name w:val="页脚 Char"/>
    <w:basedOn w:val="684"/>
    <w:link w:val="907"/>
    <w:uiPriority w:val="99"/>
    <w:qFormat/>
    <w:rPr>
      <w:rFonts w:asciiTheme="minorHAnsi" w:hAnsiTheme="minorHAnsi" w:cstheme="minorBidi"/>
      <w:sz w:val="18"/>
      <w:szCs w:val="18"/>
    </w:rPr>
  </w:style>
  <w:style w:type="paragraph" w:styleId="909" w:customStyle="1">
    <w:name w:val="页眉1"/>
    <w:basedOn w:val="674"/>
    <w:link w:val="910"/>
    <w:uiPriority w:val="99"/>
    <w:qFormat/>
    <w:pPr>
      <w:jc w:val="center"/>
      <w:widowControl w:val="off"/>
      <w:tabs>
        <w:tab w:val="center" w:pos="4153" w:leader="none"/>
        <w:tab w:val="right" w:pos="8306" w:leader="none"/>
      </w:tabs>
      <w:pBdr>
        <w:bottom w:val="single" w:color="auto" w:sz="6" w:space="1"/>
      </w:pBdr>
    </w:pPr>
    <w:rPr>
      <w:rFonts w:asciiTheme="minorHAnsi" w:hAnsiTheme="minorHAnsi" w:cstheme="minorBidi"/>
      <w:sz w:val="18"/>
      <w:szCs w:val="18"/>
    </w:rPr>
  </w:style>
  <w:style w:type="character" w:styleId="910" w:customStyle="1">
    <w:name w:val="页眉 Char"/>
    <w:basedOn w:val="684"/>
    <w:link w:val="909"/>
    <w:uiPriority w:val="99"/>
    <w:qFormat/>
    <w:rPr>
      <w:rFonts w:asciiTheme="minorHAnsi" w:hAnsiTheme="minorHAnsi" w:cstheme="minorBidi"/>
      <w:sz w:val="18"/>
      <w:szCs w:val="18"/>
    </w:rPr>
  </w:style>
  <w:style w:type="paragraph" w:styleId="91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12" w:customStyle="1">
    <w:name w:val="页脚11"/>
    <w:basedOn w:val="674"/>
    <w:link w:val="913"/>
    <w:uiPriority w:val="99"/>
    <w:unhideWhenUsed/>
    <w:qFormat/>
    <w:pPr>
      <w:widowControl w:val="off"/>
      <w:tabs>
        <w:tab w:val="center" w:pos="4153" w:leader="none"/>
        <w:tab w:val="right" w:pos="8306" w:leader="none"/>
      </w:tabs>
    </w:pPr>
    <w:rPr>
      <w:rFonts w:asciiTheme="minorHAnsi" w:hAnsiTheme="minorHAnsi" w:cstheme="minorBidi"/>
      <w:sz w:val="18"/>
      <w:szCs w:val="18"/>
    </w:rPr>
  </w:style>
  <w:style w:type="character" w:styleId="913" w:customStyle="1">
    <w:name w:val="Caption Char"/>
    <w:link w:val="912"/>
    <w:uiPriority w:val="99"/>
    <w:qFormat/>
    <w:rPr>
      <w:rFonts w:asciiTheme="minorHAnsi" w:hAnsiTheme="minorHAnsi" w:cstheme="minorBidi"/>
      <w:sz w:val="18"/>
      <w:szCs w:val="18"/>
    </w:rPr>
  </w:style>
  <w:style w:type="paragraph" w:styleId="914" w:customStyle="1">
    <w:name w:val="p"/>
    <w:basedOn w:val="674"/>
    <w:uiPriority w:val="0"/>
    <w:qFormat/>
    <w:pPr>
      <w:spacing w:after="100" w:afterAutospacing="1"/>
    </w:pPr>
    <w:rPr>
      <w:rFonts w:ascii="宋体" w:hAnsi="宋体" w:eastAsia="宋体" w:cs="宋体"/>
      <w:sz w:val="24"/>
      <w:szCs w:val="24"/>
    </w:rPr>
  </w:style>
  <w:style w:type="character" w:styleId="915" w:customStyle="1">
    <w:name w:val="Header Char"/>
    <w:link w:val="916"/>
    <w:uiPriority w:val="99"/>
    <w:qFormat/>
    <w:rPr>
      <w:rFonts w:ascii="Calibri" w:hAnsi="Calibri" w:eastAsia="Arial" w:cs="Arial"/>
      <w:sz w:val="21"/>
      <w:szCs w:val="24"/>
    </w:rPr>
  </w:style>
  <w:style w:type="paragraph" w:styleId="916" w:customStyle="1">
    <w:name w:val="页眉11"/>
    <w:basedOn w:val="674"/>
    <w:link w:val="915"/>
    <w:uiPriority w:val="99"/>
    <w:qFormat/>
    <w:pPr>
      <w:jc w:val="both"/>
      <w:widowControl w:val="off"/>
      <w:tabs>
        <w:tab w:val="center" w:pos="7143" w:leader="none"/>
        <w:tab w:val="right" w:pos="14287" w:leader="none"/>
      </w:tabs>
    </w:pPr>
    <w:rPr>
      <w:rFonts w:ascii="Calibri" w:hAnsi="Calibri" w:eastAsia="Arial" w:cs="Arial"/>
      <w:sz w:val="21"/>
      <w:szCs w:val="24"/>
    </w:rPr>
  </w:style>
  <w:style w:type="paragraph" w:styleId="917" w:customStyle="1">
    <w:name w:val="TOC 标题11"/>
    <w:uiPriority w:val="39"/>
    <w:qFormat/>
    <w:rPr>
      <w:rFonts w:ascii="Times New Roman" w:hAnsi="Times New Roman" w:eastAsia="宋体" w:cs="Times New Roman"/>
      <w:lang w:val="en-US" w:eastAsia="zh-CN" w:bidi="ar-SA"/>
    </w:rPr>
  </w:style>
  <w:style w:type="paragraph" w:styleId="918" w:customStyle="1">
    <w:name w:val="正文首行缩进1"/>
    <w:basedOn w:val="692"/>
    <w:uiPriority w:val="0"/>
    <w:qFormat/>
    <w:pPr>
      <w:ind w:firstLine="200"/>
      <w:spacing w:after="0" w:line="360" w:lineRule="auto"/>
    </w:pPr>
    <w:rPr>
      <w:rFonts w:ascii="仿宋_GB2312" w:hAnsi="仿宋_GB2312" w:eastAsia="仿宋_GB2312" w:cs="Arial"/>
      <w:sz w:val="30"/>
      <w:szCs w:val="30"/>
    </w:rPr>
  </w:style>
  <w:style w:type="paragraph" w:styleId="919" w:customStyle="1">
    <w:name w:val="章标题"/>
    <w:next w:val="67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20" w:customStyle="1">
    <w:name w:val="段"/>
    <w:next w:val="674"/>
    <w:uiPriority w:val="0"/>
    <w:qFormat/>
    <w:pPr>
      <w:ind w:firstLine="200"/>
      <w:jc w:val="both"/>
      <w:widowControl w:val="off"/>
    </w:pPr>
    <w:rPr>
      <w:rFonts w:ascii="宋体" w:hAnsi="宋体" w:eastAsia="宋体" w:cs="宋体"/>
      <w:color w:val="000000"/>
      <w:sz w:val="21"/>
      <w:szCs w:val="21"/>
      <w:lang w:val="en-US" w:eastAsia="zh-CN" w:bidi="ar-SA"/>
    </w:rPr>
  </w:style>
  <w:style w:type="character" w:styleId="921" w:customStyle="1">
    <w:name w:val="Heading 2 Char"/>
    <w:link w:val="922"/>
    <w:uiPriority w:val="9"/>
    <w:qFormat/>
    <w:rPr>
      <w:rFonts w:ascii="Arial" w:hAnsi="Arial" w:eastAsia="Arial" w:cs="Arial"/>
      <w:sz w:val="34"/>
    </w:rPr>
  </w:style>
  <w:style w:type="paragraph" w:styleId="922" w:customStyle="1">
    <w:name w:val="标题 211"/>
    <w:basedOn w:val="674"/>
    <w:next w:val="674"/>
    <w:link w:val="921"/>
    <w:uiPriority w:val="9"/>
    <w:qFormat/>
    <w:pPr>
      <w:jc w:val="both"/>
      <w:keepLines/>
      <w:keepNext/>
      <w:spacing w:before="360" w:after="200"/>
      <w:widowControl w:val="off"/>
      <w:outlineLvl w:val="1"/>
    </w:pPr>
    <w:rPr>
      <w:rFonts w:ascii="Arial" w:hAnsi="Arial" w:eastAsia="Arial" w:cs="Arial"/>
      <w:sz w:val="34"/>
    </w:rPr>
  </w:style>
  <w:style w:type="character" w:styleId="923" w:customStyle="1">
    <w:name w:val="Heading 3 Char"/>
    <w:link w:val="924"/>
    <w:uiPriority w:val="9"/>
    <w:qFormat/>
    <w:rPr>
      <w:rFonts w:ascii="Arial" w:hAnsi="Arial" w:eastAsia="Arial" w:cs="Arial"/>
      <w:sz w:val="30"/>
      <w:szCs w:val="30"/>
    </w:rPr>
  </w:style>
  <w:style w:type="paragraph" w:styleId="924" w:customStyle="1">
    <w:name w:val="标题 311"/>
    <w:basedOn w:val="674"/>
    <w:next w:val="674"/>
    <w:link w:val="923"/>
    <w:uiPriority w:val="9"/>
    <w:qFormat/>
    <w:pPr>
      <w:jc w:val="both"/>
      <w:keepLines/>
      <w:keepNext/>
      <w:spacing w:before="320" w:after="200"/>
      <w:widowControl w:val="off"/>
      <w:outlineLvl w:val="2"/>
    </w:pPr>
    <w:rPr>
      <w:rFonts w:ascii="Arial" w:hAnsi="Arial" w:eastAsia="Arial" w:cs="Arial"/>
      <w:sz w:val="30"/>
      <w:szCs w:val="30"/>
    </w:rPr>
  </w:style>
  <w:style w:type="character" w:styleId="925" w:customStyle="1">
    <w:name w:val="Heading 9 Char"/>
    <w:link w:val="926"/>
    <w:uiPriority w:val="9"/>
    <w:qFormat/>
    <w:rPr>
      <w:rFonts w:ascii="Arial" w:hAnsi="Arial" w:eastAsia="Arial" w:cs="Arial"/>
      <w:i/>
      <w:iCs/>
      <w:sz w:val="21"/>
      <w:szCs w:val="21"/>
    </w:rPr>
  </w:style>
  <w:style w:type="paragraph" w:styleId="926" w:customStyle="1">
    <w:name w:val="标题 911"/>
    <w:basedOn w:val="674"/>
    <w:next w:val="674"/>
    <w:link w:val="925"/>
    <w:uiPriority w:val="9"/>
    <w:qFormat/>
    <w:pPr>
      <w:jc w:val="both"/>
      <w:keepLines/>
      <w:keepNext/>
      <w:spacing w:before="320" w:after="200"/>
      <w:widowControl w:val="off"/>
      <w:outlineLvl w:val="8"/>
    </w:pPr>
    <w:rPr>
      <w:rFonts w:ascii="Arial" w:hAnsi="Arial" w:eastAsia="Arial" w:cs="Arial"/>
      <w:i/>
      <w:iCs/>
      <w:sz w:val="21"/>
      <w:szCs w:val="21"/>
    </w:rPr>
  </w:style>
  <w:style w:type="character" w:styleId="927" w:customStyle="1">
    <w:name w:val="Heading 7 Char"/>
    <w:link w:val="928"/>
    <w:uiPriority w:val="9"/>
    <w:qFormat/>
    <w:rPr>
      <w:rFonts w:ascii="Arial" w:hAnsi="Arial" w:eastAsia="Arial" w:cs="Arial"/>
      <w:b/>
      <w:bCs/>
      <w:i/>
      <w:iCs/>
      <w:sz w:val="22"/>
      <w:szCs w:val="22"/>
    </w:rPr>
  </w:style>
  <w:style w:type="paragraph" w:styleId="928" w:customStyle="1">
    <w:name w:val="标题 711"/>
    <w:basedOn w:val="674"/>
    <w:next w:val="674"/>
    <w:link w:val="927"/>
    <w:uiPriority w:val="9"/>
    <w:qFormat/>
    <w:pPr>
      <w:jc w:val="both"/>
      <w:keepLines/>
      <w:keepNext/>
      <w:spacing w:before="320" w:after="200"/>
      <w:widowControl w:val="off"/>
      <w:outlineLvl w:val="6"/>
    </w:pPr>
    <w:rPr>
      <w:rFonts w:ascii="Arial" w:hAnsi="Arial" w:eastAsia="Arial" w:cs="Arial"/>
      <w:b/>
      <w:bCs/>
      <w:i/>
      <w:iCs/>
      <w:sz w:val="22"/>
      <w:szCs w:val="22"/>
    </w:rPr>
  </w:style>
  <w:style w:type="character" w:styleId="929" w:customStyle="1">
    <w:name w:val="Heading 6 Char"/>
    <w:link w:val="930"/>
    <w:uiPriority w:val="9"/>
    <w:qFormat/>
    <w:rPr>
      <w:rFonts w:ascii="Arial" w:hAnsi="Arial" w:eastAsia="Arial" w:cs="Arial"/>
      <w:b/>
      <w:bCs/>
      <w:sz w:val="22"/>
      <w:szCs w:val="22"/>
    </w:rPr>
  </w:style>
  <w:style w:type="paragraph" w:styleId="930" w:customStyle="1">
    <w:name w:val="标题 611"/>
    <w:basedOn w:val="674"/>
    <w:next w:val="674"/>
    <w:link w:val="929"/>
    <w:uiPriority w:val="9"/>
    <w:qFormat/>
    <w:pPr>
      <w:jc w:val="both"/>
      <w:keepLines/>
      <w:keepNext/>
      <w:spacing w:before="320" w:after="200"/>
      <w:widowControl w:val="off"/>
      <w:outlineLvl w:val="5"/>
    </w:pPr>
    <w:rPr>
      <w:rFonts w:ascii="Arial" w:hAnsi="Arial" w:eastAsia="Arial" w:cs="Arial"/>
      <w:b/>
      <w:bCs/>
      <w:sz w:val="22"/>
      <w:szCs w:val="22"/>
    </w:rPr>
  </w:style>
  <w:style w:type="character" w:styleId="931" w:customStyle="1">
    <w:name w:val="Heading 5 Char"/>
    <w:link w:val="932"/>
    <w:uiPriority w:val="9"/>
    <w:qFormat/>
    <w:rPr>
      <w:rFonts w:ascii="Arial" w:hAnsi="Arial" w:eastAsia="Arial" w:cs="Arial"/>
      <w:b/>
      <w:bCs/>
      <w:sz w:val="24"/>
      <w:szCs w:val="24"/>
    </w:rPr>
  </w:style>
  <w:style w:type="paragraph" w:styleId="932" w:customStyle="1">
    <w:name w:val="标题 511"/>
    <w:basedOn w:val="674"/>
    <w:next w:val="674"/>
    <w:link w:val="931"/>
    <w:uiPriority w:val="9"/>
    <w:qFormat/>
    <w:pPr>
      <w:jc w:val="both"/>
      <w:keepLines/>
      <w:keepNext/>
      <w:spacing w:before="320" w:after="200"/>
      <w:widowControl w:val="off"/>
      <w:outlineLvl w:val="4"/>
    </w:pPr>
    <w:rPr>
      <w:rFonts w:ascii="Arial" w:hAnsi="Arial" w:eastAsia="Arial" w:cs="Arial"/>
      <w:b/>
      <w:bCs/>
      <w:sz w:val="24"/>
      <w:szCs w:val="24"/>
    </w:rPr>
  </w:style>
  <w:style w:type="character" w:styleId="933" w:customStyle="1">
    <w:name w:val="Heading 4 Char"/>
    <w:link w:val="934"/>
    <w:uiPriority w:val="9"/>
    <w:qFormat/>
    <w:rPr>
      <w:rFonts w:ascii="Arial" w:hAnsi="Arial" w:eastAsia="Arial" w:cs="Arial"/>
      <w:b/>
      <w:bCs/>
      <w:sz w:val="26"/>
      <w:szCs w:val="26"/>
    </w:rPr>
  </w:style>
  <w:style w:type="paragraph" w:styleId="934" w:customStyle="1">
    <w:name w:val="标题 411"/>
    <w:basedOn w:val="674"/>
    <w:next w:val="674"/>
    <w:link w:val="933"/>
    <w:uiPriority w:val="9"/>
    <w:qFormat/>
    <w:pPr>
      <w:jc w:val="both"/>
      <w:keepLines/>
      <w:keepNext/>
      <w:spacing w:before="320" w:after="200"/>
      <w:widowControl w:val="off"/>
      <w:outlineLvl w:val="3"/>
    </w:pPr>
    <w:rPr>
      <w:rFonts w:ascii="Arial" w:hAnsi="Arial" w:eastAsia="Arial" w:cs="Arial"/>
      <w:b/>
      <w:bCs/>
      <w:sz w:val="26"/>
      <w:szCs w:val="26"/>
    </w:rPr>
  </w:style>
  <w:style w:type="paragraph" w:styleId="935" w:customStyle="1">
    <w:name w:val="Header1"/>
    <w:basedOn w:val="674"/>
    <w:uiPriority w:val="99"/>
    <w:qFormat/>
    <w:pPr>
      <w:jc w:val="center"/>
      <w:widowControl w:val="off"/>
      <w:tabs>
        <w:tab w:val="center" w:pos="4153" w:leader="none"/>
        <w:tab w:val="right" w:pos="8306" w:leader="none"/>
      </w:tabs>
    </w:pPr>
    <w:rPr>
      <w:rFonts w:ascii="Calibri" w:hAnsi="Calibri" w:eastAsia="Arial" w:cs="Arial"/>
      <w:sz w:val="18"/>
      <w:szCs w:val="18"/>
    </w:rPr>
  </w:style>
  <w:style w:type="character" w:styleId="936" w:customStyle="1">
    <w:name w:val="Heading 1 Char"/>
    <w:link w:val="937"/>
    <w:uiPriority w:val="9"/>
    <w:qFormat/>
    <w:rPr>
      <w:rFonts w:ascii="Arial" w:hAnsi="Arial" w:eastAsia="Arial" w:cs="Arial"/>
      <w:sz w:val="40"/>
      <w:szCs w:val="40"/>
    </w:rPr>
  </w:style>
  <w:style w:type="paragraph" w:styleId="937" w:customStyle="1">
    <w:name w:val="标题 111"/>
    <w:basedOn w:val="674"/>
    <w:next w:val="674"/>
    <w:link w:val="936"/>
    <w:uiPriority w:val="9"/>
    <w:qFormat/>
    <w:pPr>
      <w:jc w:val="both"/>
      <w:keepLines/>
      <w:keepNext/>
      <w:spacing w:before="480" w:after="200"/>
      <w:widowControl w:val="off"/>
      <w:outlineLvl w:val="0"/>
    </w:pPr>
    <w:rPr>
      <w:rFonts w:ascii="Arial" w:hAnsi="Arial" w:eastAsia="Arial" w:cs="Arial"/>
      <w:sz w:val="40"/>
      <w:szCs w:val="40"/>
    </w:rPr>
  </w:style>
  <w:style w:type="character" w:styleId="938" w:customStyle="1">
    <w:name w:val="Heading 8 Char"/>
    <w:link w:val="939"/>
    <w:uiPriority w:val="9"/>
    <w:qFormat/>
    <w:rPr>
      <w:rFonts w:ascii="Arial" w:hAnsi="Arial" w:eastAsia="Arial" w:cs="Arial"/>
      <w:i/>
      <w:iCs/>
      <w:sz w:val="22"/>
      <w:szCs w:val="22"/>
    </w:rPr>
  </w:style>
  <w:style w:type="paragraph" w:styleId="939" w:customStyle="1">
    <w:name w:val="标题 811"/>
    <w:basedOn w:val="674"/>
    <w:next w:val="674"/>
    <w:link w:val="938"/>
    <w:uiPriority w:val="9"/>
    <w:qFormat/>
    <w:pPr>
      <w:jc w:val="both"/>
      <w:keepLines/>
      <w:keepNext/>
      <w:spacing w:before="320" w:after="200"/>
      <w:widowControl w:val="off"/>
      <w:outlineLvl w:val="7"/>
    </w:pPr>
    <w:rPr>
      <w:rFonts w:ascii="Arial" w:hAnsi="Arial" w:eastAsia="Arial" w:cs="Arial"/>
      <w:i/>
      <w:iCs/>
      <w:sz w:val="22"/>
      <w:szCs w:val="22"/>
    </w:rPr>
  </w:style>
  <w:style w:type="paragraph" w:styleId="940" w:customStyle="1">
    <w:name w:val="Char Char Char Char Char Char Char Char1"/>
    <w:basedOn w:val="674"/>
    <w:uiPriority w:val="0"/>
    <w:qFormat/>
    <w:pPr>
      <w:spacing w:after="160" w:line="240" w:lineRule="exact"/>
    </w:pPr>
    <w:rPr>
      <w:rFonts w:ascii="Verdana" w:hAnsi="Verdana" w:eastAsia="Arial" w:cs="Arial"/>
      <w:lang w:eastAsia="en-US"/>
    </w:rPr>
  </w:style>
  <w:style w:type="paragraph" w:styleId="941" w:customStyle="1">
    <w:name w:val="_正文"/>
    <w:basedOn w:val="674"/>
    <w:uiPriority w:val="0"/>
    <w:qFormat/>
    <w:pPr>
      <w:ind w:firstLine="560"/>
      <w:spacing w:line="360" w:lineRule="auto"/>
    </w:pPr>
    <w:rPr>
      <w:rFonts w:eastAsia="仿宋"/>
      <w:sz w:val="28"/>
      <w:szCs w:val="24"/>
    </w:rPr>
  </w:style>
  <w:style w:type="paragraph" w:styleId="942" w:customStyle="1">
    <w:name w:val="Footer1"/>
    <w:basedOn w:val="674"/>
    <w:uiPriority w:val="0"/>
    <w:qFormat/>
    <w:pPr>
      <w:widowControl w:val="off"/>
      <w:tabs>
        <w:tab w:val="center" w:pos="4153" w:leader="none"/>
        <w:tab w:val="right" w:pos="8306" w:leader="none"/>
      </w:tabs>
    </w:pPr>
    <w:rPr>
      <w:rFonts w:ascii="Calibri" w:hAnsi="Calibri" w:eastAsia="Arial" w:cs="Arial"/>
      <w:sz w:val="18"/>
      <w:szCs w:val="18"/>
    </w:rPr>
  </w:style>
  <w:style w:type="paragraph" w:styleId="943" w:customStyle="1">
    <w:name w:val="Caption1"/>
    <w:basedOn w:val="674"/>
    <w:next w:val="674"/>
    <w:uiPriority w:val="35"/>
    <w:qFormat/>
    <w:pPr>
      <w:jc w:val="both"/>
      <w:spacing w:line="276" w:lineRule="auto"/>
      <w:widowControl w:val="off"/>
    </w:pPr>
    <w:rPr>
      <w:rFonts w:ascii="Calibri" w:hAnsi="Calibri" w:eastAsia="Arial" w:cs="Arial"/>
      <w:b/>
      <w:bCs/>
      <w:color w:val="4874cb"/>
      <w:sz w:val="18"/>
      <w:szCs w:val="18"/>
    </w:rPr>
  </w:style>
  <w:style w:type="paragraph" w:styleId="944" w:customStyle="1">
    <w:name w:val="普通(网站)1"/>
    <w:basedOn w:val="674"/>
    <w:uiPriority w:val="0"/>
    <w:qFormat/>
    <w:pPr>
      <w:spacing w:before="100" w:beforeAutospacing="1" w:after="100" w:afterAutospacing="1"/>
    </w:pPr>
    <w:rPr>
      <w:rFonts w:ascii="宋体" w:hAnsi="宋体" w:eastAsia="Arial" w:cs="宋体"/>
      <w:sz w:val="24"/>
      <w:szCs w:val="24"/>
    </w:rPr>
  </w:style>
  <w:style w:type="paragraph" w:styleId="945" w:customStyle="1">
    <w:name w:val="文本块1"/>
    <w:basedOn w:val="674"/>
    <w:uiPriority w:val="99"/>
    <w:qFormat/>
    <w:pPr>
      <w:ind w:left="1440" w:right="1440"/>
      <w:jc w:val="both"/>
      <w:spacing w:after="120"/>
      <w:widowControl w:val="off"/>
      <w:tabs>
        <w:tab w:val="left" w:pos="9000" w:leader="none"/>
      </w:tabs>
    </w:pPr>
    <w:rPr>
      <w:rFonts w:eastAsia="Arial" w:cs="Arial"/>
      <w:sz w:val="21"/>
      <w:szCs w:val="24"/>
    </w:rPr>
  </w:style>
  <w:style w:type="paragraph" w:styleId="946" w:customStyle="1">
    <w:name w:val="修订1"/>
    <w:uiPriority w:val="99"/>
    <w:qFormat/>
    <w:rPr>
      <w:rFonts w:ascii="Calibri" w:hAnsi="Calibri" w:eastAsia="Arial" w:cs="Arial"/>
      <w:sz w:val="21"/>
      <w:szCs w:val="24"/>
      <w:lang w:val="en-US" w:eastAsia="zh-CN" w:bidi="ar-SA"/>
    </w:rPr>
  </w:style>
  <w:style w:type="paragraph" w:styleId="947" w:customStyle="1">
    <w:name w:val="正文1"/>
    <w:basedOn w:val="674"/>
    <w:uiPriority w:val="0"/>
    <w:qFormat/>
    <w:pPr>
      <w:ind w:right="-167"/>
      <w:jc w:val="both"/>
      <w:spacing w:line="440" w:lineRule="exact"/>
    </w:pPr>
    <w:rPr>
      <w:rFonts w:eastAsia="宋体"/>
      <w:b/>
      <w:sz w:val="21"/>
      <w:szCs w:val="24"/>
    </w:rPr>
  </w:style>
  <w:style w:type="paragraph" w:styleId="948" w:customStyle="1">
    <w:name w:val="TOC 71"/>
    <w:next w:val="674"/>
    <w:uiPriority w:val="0"/>
    <w:qFormat/>
    <w:pPr>
      <w:ind w:left="2550"/>
      <w:jc w:val="both"/>
    </w:pPr>
    <w:rPr>
      <w:rFonts w:ascii="Times New Roman" w:hAnsi="Times New Roman" w:eastAsia="宋体" w:cs="Times New Roman"/>
      <w:sz w:val="21"/>
      <w:szCs w:val="22"/>
      <w:lang w:val="en-US" w:eastAsia="zh-CN" w:bidi="ar-SA"/>
    </w:rPr>
  </w:style>
  <w:style w:type="paragraph" w:styleId="949" w:customStyle="1">
    <w:name w:val="国图正文小四"/>
    <w:basedOn w:val="674"/>
    <w:uiPriority w:val="0"/>
    <w:qFormat/>
    <w:pPr>
      <w:ind w:firstLine="420"/>
      <w:jc w:val="both"/>
      <w:spacing w:line="360" w:lineRule="auto"/>
      <w:widowControl w:val="off"/>
    </w:pPr>
    <w:rPr>
      <w:rFonts w:ascii="宋体" w:hAnsi="宋体" w:eastAsia="宋体"/>
      <w:sz w:val="24"/>
      <w:szCs w:val="24"/>
    </w:rPr>
  </w:style>
  <w:style w:type="paragraph" w:styleId="950" w:customStyle="1">
    <w:name w:val="正文2"/>
    <w:basedOn w:val="674"/>
    <w:uiPriority w:val="0"/>
    <w:qFormat/>
    <w:pPr>
      <w:ind w:firstLine="420"/>
      <w:jc w:val="both"/>
      <w:spacing w:line="360" w:lineRule="auto"/>
      <w:widowControl w:val="off"/>
    </w:pPr>
    <w:rPr>
      <w:rFonts w:eastAsia="宋体"/>
      <w:sz w:val="28"/>
      <w:szCs w:val="24"/>
    </w:rPr>
  </w:style>
  <w:style w:type="paragraph" w:styleId="951" w:customStyle="1">
    <w:name w:val="列表段落1"/>
    <w:basedOn w:val="674"/>
    <w:uiPriority w:val="99"/>
    <w:qFormat/>
    <w:pPr>
      <w:ind w:firstLine="420"/>
      <w:jc w:val="both"/>
      <w:widowControl w:val="off"/>
    </w:pPr>
    <w:rPr>
      <w:rFonts w:ascii="Calibri" w:hAnsi="Calibri" w:eastAsia="Arial" w:cs="Arial"/>
      <w:sz w:val="21"/>
      <w:szCs w:val="24"/>
    </w:rPr>
  </w:style>
  <w:style w:type="paragraph" w:styleId="952" w:customStyle="1">
    <w:name w:val="Default"/>
    <w:uiPriority w:val="99"/>
    <w:qFormat/>
    <w:pPr>
      <w:widowControl w:val="off"/>
    </w:pPr>
    <w:rPr>
      <w:rFonts w:ascii="Calibri" w:hAnsi="Calibri" w:eastAsia="宋体" w:cs="Times New Roman"/>
      <w:color w:val="000000"/>
      <w:sz w:val="24"/>
      <w:szCs w:val="24"/>
      <w:lang w:val="en-US" w:eastAsia="zh-CN" w:bidi="ar-SA"/>
    </w:rPr>
  </w:style>
  <w:style w:type="paragraph" w:styleId="953" w:customStyle="1">
    <w:name w:val="索引 91"/>
    <w:basedOn w:val="674"/>
    <w:next w:val="674"/>
    <w:uiPriority w:val="0"/>
    <w:qFormat/>
    <w:pPr>
      <w:ind w:left="1600"/>
      <w:jc w:val="both"/>
      <w:widowControl w:val="off"/>
    </w:pPr>
    <w:rPr>
      <w:rFonts w:eastAsia="宋体"/>
      <w:sz w:val="21"/>
      <w:szCs w:val="24"/>
    </w:rPr>
  </w:style>
  <w:style w:type="character" w:styleId="954" w:customStyle="1">
    <w:name w:val="普通正文 Char"/>
    <w:link w:val="955"/>
    <w:uiPriority w:val="0"/>
    <w:qFormat/>
    <w:rPr>
      <w:rFonts w:ascii="Arial" w:hAnsi="Arial" w:cs="Arial"/>
      <w:sz w:val="24"/>
      <w:szCs w:val="21"/>
      <w:lang w:eastAsia="en-US"/>
    </w:rPr>
  </w:style>
  <w:style w:type="paragraph" w:styleId="955" w:customStyle="1">
    <w:name w:val="普通正文"/>
    <w:basedOn w:val="674"/>
    <w:link w:val="954"/>
    <w:uiPriority w:val="0"/>
    <w:qFormat/>
    <w:pPr>
      <w:ind w:firstLine="480"/>
      <w:spacing w:before="120" w:after="120" w:line="360" w:lineRule="auto"/>
      <w:widowControl w:val="off"/>
    </w:pPr>
    <w:rPr>
      <w:rFonts w:ascii="Arial" w:hAnsi="Arial" w:cs="Arial"/>
      <w:sz w:val="24"/>
      <w:szCs w:val="21"/>
      <w:lang w:eastAsia="en-US"/>
    </w:rPr>
  </w:style>
  <w:style w:type="paragraph" w:styleId="956" w:customStyle="1">
    <w:name w:val="Table Paragraph"/>
    <w:basedOn w:val="674"/>
    <w:uiPriority w:val="1"/>
    <w:qFormat/>
    <w:pPr>
      <w:widowControl w:val="off"/>
    </w:pPr>
    <w:rPr>
      <w:rFonts w:ascii="Calibri" w:hAnsi="Calibri" w:eastAsia="宋体" w:cs="Calibri"/>
      <w:sz w:val="22"/>
      <w:szCs w:val="22"/>
      <w:lang w:eastAsia="en-US"/>
    </w:rPr>
  </w:style>
  <w:style w:type="character" w:styleId="957" w:customStyle="1">
    <w:name w:val="Title Char"/>
    <w:uiPriority w:val="10"/>
    <w:qFormat/>
    <w:rPr>
      <w:sz w:val="48"/>
      <w:szCs w:val="48"/>
    </w:rPr>
  </w:style>
  <w:style w:type="character" w:styleId="958" w:customStyle="1">
    <w:name w:val="Subtitle Char"/>
    <w:uiPriority w:val="11"/>
    <w:qFormat/>
    <w:rPr>
      <w:sz w:val="24"/>
      <w:szCs w:val="24"/>
    </w:rPr>
  </w:style>
  <w:style w:type="character" w:styleId="959" w:customStyle="1">
    <w:name w:val="Quote Char"/>
    <w:uiPriority w:val="29"/>
    <w:qFormat/>
    <w:rPr>
      <w:i/>
    </w:rPr>
  </w:style>
  <w:style w:type="character" w:styleId="960" w:customStyle="1">
    <w:name w:val="Intense Quote Char"/>
    <w:uiPriority w:val="30"/>
    <w:qFormat/>
    <w:rPr>
      <w:i/>
    </w:rPr>
  </w:style>
  <w:style w:type="character" w:styleId="961" w:customStyle="1">
    <w:name w:val="Footnote Text Char"/>
    <w:uiPriority w:val="99"/>
    <w:qFormat/>
    <w:rPr>
      <w:sz w:val="18"/>
    </w:rPr>
  </w:style>
  <w:style w:type="character" w:styleId="962" w:customStyle="1">
    <w:name w:val="Endnote Text Char"/>
    <w:uiPriority w:val="99"/>
    <w:qFormat/>
    <w:rPr>
      <w:sz w:val="20"/>
    </w:rPr>
  </w:style>
  <w:style w:type="character" w:styleId="963" w:customStyle="1">
    <w:name w:val="NormalCharacter1"/>
    <w:uiPriority w:val="0"/>
    <w:qFormat/>
    <w:rPr>
      <w:rFonts w:hint="default" w:ascii="Calibri" w:hAnsi="Calibri" w:eastAsia="Arial" w:cs="Arial"/>
      <w:sz w:val="21"/>
      <w:szCs w:val="24"/>
      <w:lang w:eastAsia="zh-CN"/>
    </w:rPr>
  </w:style>
  <w:style w:type="paragraph" w:styleId="964" w:customStyle="1">
    <w:name w:val="一级条标题"/>
    <w:basedOn w:val="919"/>
    <w:next w:val="920"/>
    <w:uiPriority w:val="0"/>
    <w:qFormat/>
    <w:pPr>
      <w:ind w:left="907" w:hanging="907"/>
      <w:spacing w:before="0" w:after="0"/>
      <w:tabs>
        <w:tab w:val="left" w:pos="907" w:leader="none"/>
      </w:tabs>
      <w:outlineLvl w:val="2"/>
    </w:pPr>
    <w:rPr>
      <w:rFonts w:hAnsi="宋体"/>
      <w:sz w:val="20"/>
      <w:szCs w:val="20"/>
    </w:rPr>
  </w:style>
  <w:style w:type="paragraph" w:styleId="965" w:customStyle="1">
    <w:name w:val="font5"/>
    <w:basedOn w:val="674"/>
    <w:uiPriority w:val="0"/>
    <w:qFormat/>
    <w:pPr>
      <w:spacing w:before="100" w:beforeAutospacing="1" w:after="100" w:afterAutospacing="1"/>
    </w:pPr>
    <w:rPr>
      <w:rFonts w:ascii="仿宋" w:hAnsi="仿宋" w:eastAsia="仿宋" w:cs="宋体"/>
      <w:b/>
      <w:bCs/>
      <w:color w:val="000000"/>
      <w:sz w:val="24"/>
      <w:szCs w:val="24"/>
    </w:rPr>
  </w:style>
  <w:style w:type="paragraph" w:styleId="966" w:customStyle="1">
    <w:name w:val="font6"/>
    <w:basedOn w:val="674"/>
    <w:uiPriority w:val="0"/>
    <w:qFormat/>
    <w:pPr>
      <w:spacing w:before="100" w:beforeAutospacing="1" w:after="100" w:afterAutospacing="1"/>
    </w:pPr>
    <w:rPr>
      <w:rFonts w:ascii="仿宋" w:hAnsi="仿宋" w:eastAsia="仿宋" w:cs="宋体"/>
      <w:color w:val="000000"/>
      <w:sz w:val="24"/>
      <w:szCs w:val="24"/>
    </w:rPr>
  </w:style>
  <w:style w:type="paragraph" w:styleId="967" w:customStyle="1">
    <w:name w:val="font7"/>
    <w:basedOn w:val="674"/>
    <w:uiPriority w:val="0"/>
    <w:qFormat/>
    <w:pPr>
      <w:spacing w:before="100" w:beforeAutospacing="1" w:after="100" w:afterAutospacing="1"/>
    </w:pPr>
    <w:rPr>
      <w:rFonts w:ascii="仿宋" w:hAnsi="仿宋" w:eastAsia="仿宋" w:cs="宋体"/>
      <w:sz w:val="24"/>
      <w:szCs w:val="24"/>
    </w:rPr>
  </w:style>
  <w:style w:type="paragraph" w:styleId="968" w:customStyle="1">
    <w:name w:val="font8"/>
    <w:basedOn w:val="674"/>
    <w:uiPriority w:val="0"/>
    <w:qFormat/>
    <w:pPr>
      <w:spacing w:before="100" w:beforeAutospacing="1" w:after="100" w:afterAutospacing="1"/>
    </w:pPr>
    <w:rPr>
      <w:rFonts w:eastAsia="宋体"/>
      <w:b/>
      <w:bCs/>
      <w:color w:val="000000"/>
      <w:sz w:val="14"/>
      <w:szCs w:val="14"/>
    </w:rPr>
  </w:style>
  <w:style w:type="paragraph" w:styleId="969" w:customStyle="1">
    <w:name w:val="font9"/>
    <w:basedOn w:val="674"/>
    <w:uiPriority w:val="0"/>
    <w:qFormat/>
    <w:pPr>
      <w:spacing w:before="100" w:beforeAutospacing="1" w:after="100" w:afterAutospacing="1"/>
    </w:pPr>
    <w:rPr>
      <w:rFonts w:eastAsia="宋体"/>
      <w:color w:val="000000"/>
      <w:sz w:val="14"/>
      <w:szCs w:val="14"/>
    </w:rPr>
  </w:style>
  <w:style w:type="paragraph" w:styleId="970" w:customStyle="1">
    <w:name w:val="font10"/>
    <w:basedOn w:val="674"/>
    <w:uiPriority w:val="0"/>
    <w:qFormat/>
    <w:pPr>
      <w:spacing w:before="100" w:beforeAutospacing="1" w:after="100" w:afterAutospacing="1"/>
    </w:pPr>
    <w:rPr>
      <w:rFonts w:eastAsia="宋体"/>
      <w:b/>
      <w:bCs/>
      <w:color w:val="000000"/>
      <w:sz w:val="24"/>
      <w:szCs w:val="24"/>
    </w:rPr>
  </w:style>
  <w:style w:type="paragraph" w:styleId="971" w:customStyle="1">
    <w:name w:val="xl65"/>
    <w:basedOn w:val="674"/>
    <w:uiPriority w:val="0"/>
    <w:qFormat/>
    <w:pPr>
      <w:jc w:val="center"/>
      <w:spacing w:before="100" w:beforeAutospacing="1" w:after="100" w:afterAutospacing="1"/>
      <w:pBdr>
        <w:top w:val="single" w:color="auto" w:sz="8" w:space="0"/>
        <w:bottom w:val="single" w:color="auto" w:sz="8" w:space="0"/>
        <w:right w:val="single" w:color="auto" w:sz="8" w:space="0"/>
      </w:pBdr>
    </w:pPr>
    <w:rPr>
      <w:rFonts w:ascii="仿宋" w:hAnsi="仿宋" w:eastAsia="仿宋" w:cs="宋体"/>
      <w:sz w:val="24"/>
      <w:szCs w:val="24"/>
    </w:rPr>
  </w:style>
  <w:style w:type="paragraph" w:styleId="972" w:customStyle="1">
    <w:name w:val="xl66"/>
    <w:basedOn w:val="674"/>
    <w:uiPriority w:val="0"/>
    <w:qFormat/>
    <w:pPr>
      <w:jc w:val="both"/>
      <w:spacing w:before="100" w:beforeAutospacing="1" w:after="100" w:afterAutospacing="1"/>
      <w:pBdr>
        <w:right w:val="single" w:color="auto" w:sz="8" w:space="0"/>
      </w:pBdr>
    </w:pPr>
    <w:rPr>
      <w:rFonts w:ascii="仿宋" w:hAnsi="仿宋" w:eastAsia="仿宋" w:cs="宋体"/>
      <w:color w:val="000000"/>
      <w:sz w:val="24"/>
      <w:szCs w:val="24"/>
    </w:rPr>
  </w:style>
  <w:style w:type="paragraph" w:styleId="973" w:customStyle="1">
    <w:name w:val="xl67"/>
    <w:basedOn w:val="674"/>
    <w:uiPriority w:val="0"/>
    <w:qFormat/>
    <w:pPr>
      <w:jc w:val="both"/>
      <w:spacing w:before="100" w:beforeAutospacing="1" w:after="100" w:afterAutospacing="1"/>
      <w:pBdr>
        <w:bottom w:val="single" w:color="auto" w:sz="8" w:space="0"/>
        <w:right w:val="single" w:color="auto" w:sz="8" w:space="0"/>
      </w:pBdr>
    </w:pPr>
    <w:rPr>
      <w:rFonts w:ascii="仿宋" w:hAnsi="仿宋" w:eastAsia="仿宋" w:cs="宋体"/>
      <w:color w:val="000000"/>
      <w:sz w:val="24"/>
      <w:szCs w:val="24"/>
    </w:rPr>
  </w:style>
  <w:style w:type="paragraph" w:styleId="974" w:customStyle="1">
    <w:name w:val="xl68"/>
    <w:basedOn w:val="674"/>
    <w:uiPriority w:val="0"/>
    <w:qFormat/>
    <w:pPr>
      <w:jc w:val="both"/>
      <w:spacing w:before="100" w:beforeAutospacing="1" w:after="100" w:afterAutospacing="1"/>
      <w:pBdr>
        <w:right w:val="single" w:color="auto" w:sz="8" w:space="0"/>
      </w:pBdr>
    </w:pPr>
    <w:rPr>
      <w:rFonts w:ascii="仿宋" w:hAnsi="仿宋" w:eastAsia="仿宋" w:cs="宋体"/>
      <w:b/>
      <w:bCs/>
      <w:color w:val="000000"/>
      <w:sz w:val="24"/>
      <w:szCs w:val="24"/>
    </w:rPr>
  </w:style>
  <w:style w:type="paragraph" w:styleId="975" w:customStyle="1">
    <w:name w:val="xl69"/>
    <w:basedOn w:val="674"/>
    <w:uiPriority w:val="0"/>
    <w:qFormat/>
    <w:pPr>
      <w:jc w:val="both"/>
      <w:spacing w:before="100" w:beforeAutospacing="1" w:after="100" w:afterAutospacing="1"/>
      <w:shd w:val="clear" w:color="000000" w:fill="ffff00"/>
      <w:pBdr>
        <w:right w:val="single" w:color="auto" w:sz="8" w:space="0"/>
      </w:pBdr>
    </w:pPr>
    <w:rPr>
      <w:rFonts w:ascii="仿宋" w:hAnsi="仿宋" w:eastAsia="仿宋" w:cs="宋体"/>
      <w:color w:val="000000"/>
      <w:sz w:val="24"/>
      <w:szCs w:val="24"/>
    </w:rPr>
  </w:style>
  <w:style w:type="paragraph" w:styleId="976" w:customStyle="1">
    <w:name w:val="xl70"/>
    <w:basedOn w:val="674"/>
    <w:uiPriority w:val="0"/>
    <w:qFormat/>
    <w:pPr>
      <w:jc w:val="both"/>
      <w:spacing w:before="100" w:beforeAutospacing="1" w:after="100" w:afterAutospacing="1"/>
      <w:pBdr>
        <w:top w:val="single" w:color="auto" w:sz="8" w:space="0"/>
        <w:left w:val="single" w:color="auto" w:sz="8" w:space="0"/>
        <w:right w:val="single" w:color="auto" w:sz="8" w:space="0"/>
      </w:pBdr>
    </w:pPr>
    <w:rPr>
      <w:rFonts w:ascii="仿宋" w:hAnsi="仿宋" w:eastAsia="仿宋" w:cs="宋体"/>
      <w:b/>
      <w:bCs/>
      <w:color w:val="000000"/>
      <w:sz w:val="24"/>
      <w:szCs w:val="24"/>
    </w:rPr>
  </w:style>
  <w:style w:type="paragraph" w:styleId="977" w:customStyle="1">
    <w:name w:val="xl71"/>
    <w:basedOn w:val="674"/>
    <w:uiPriority w:val="0"/>
    <w:qFormat/>
    <w:pPr>
      <w:jc w:val="both"/>
      <w:spacing w:before="100" w:beforeAutospacing="1" w:after="100" w:afterAutospacing="1"/>
      <w:pBdr>
        <w:left w:val="single" w:color="auto" w:sz="8" w:space="0"/>
        <w:right w:val="single" w:color="auto" w:sz="8" w:space="0"/>
      </w:pBdr>
    </w:pPr>
    <w:rPr>
      <w:rFonts w:ascii="仿宋" w:hAnsi="仿宋" w:eastAsia="仿宋" w:cs="宋体"/>
      <w:color w:val="000000"/>
      <w:sz w:val="24"/>
      <w:szCs w:val="24"/>
    </w:rPr>
  </w:style>
  <w:style w:type="paragraph" w:styleId="978" w:customStyle="1">
    <w:name w:val="xl72"/>
    <w:basedOn w:val="674"/>
    <w:uiPriority w:val="0"/>
    <w:qFormat/>
    <w:pPr>
      <w:jc w:val="both"/>
      <w:spacing w:before="100" w:beforeAutospacing="1" w:after="100" w:afterAutospacing="1"/>
      <w:pBdr>
        <w:left w:val="single" w:color="auto" w:sz="8" w:space="0"/>
        <w:bottom w:val="single" w:color="auto" w:sz="8" w:space="0"/>
        <w:right w:val="single" w:color="auto" w:sz="8" w:space="0"/>
      </w:pBdr>
    </w:pPr>
    <w:rPr>
      <w:rFonts w:ascii="仿宋" w:hAnsi="仿宋" w:eastAsia="仿宋" w:cs="宋体"/>
      <w:color w:val="000000"/>
      <w:sz w:val="24"/>
      <w:szCs w:val="24"/>
    </w:rPr>
  </w:style>
  <w:style w:type="paragraph" w:styleId="979" w:customStyle="1">
    <w:name w:val="xl73"/>
    <w:basedOn w:val="674"/>
    <w:uiPriority w:val="0"/>
    <w:qFormat/>
    <w:pPr>
      <w:jc w:val="both"/>
      <w:spacing w:before="100" w:beforeAutospacing="1" w:after="100" w:afterAutospacing="1"/>
      <w:pBdr>
        <w:left w:val="single" w:color="auto" w:sz="8" w:space="0"/>
        <w:right w:val="single" w:color="auto" w:sz="8" w:space="0"/>
      </w:pBdr>
    </w:pPr>
    <w:rPr>
      <w:rFonts w:ascii="仿宋" w:hAnsi="仿宋" w:eastAsia="仿宋" w:cs="宋体"/>
      <w:b/>
      <w:bCs/>
      <w:color w:val="000000"/>
      <w:sz w:val="24"/>
      <w:szCs w:val="24"/>
    </w:rPr>
  </w:style>
  <w:style w:type="paragraph" w:styleId="980" w:customStyle="1">
    <w:name w:val="xl74"/>
    <w:basedOn w:val="674"/>
    <w:uiPriority w:val="0"/>
    <w:qFormat/>
    <w:pPr>
      <w:jc w:val="both"/>
      <w:spacing w:before="100" w:beforeAutospacing="1" w:after="100" w:afterAutospacing="1"/>
      <w:pBdr>
        <w:bottom w:val="single" w:color="auto" w:sz="8" w:space="0"/>
        <w:right w:val="single" w:color="auto" w:sz="8" w:space="0"/>
      </w:pBdr>
    </w:pPr>
    <w:rPr>
      <w:rFonts w:ascii="仿宋" w:hAnsi="仿宋" w:eastAsia="仿宋" w:cs="宋体"/>
      <w:sz w:val="24"/>
      <w:szCs w:val="24"/>
    </w:rPr>
  </w:style>
  <w:style w:type="paragraph" w:styleId="981" w:customStyle="1">
    <w:name w:val="xl75"/>
    <w:basedOn w:val="674"/>
    <w:uiPriority w:val="0"/>
    <w:qFormat/>
    <w:pPr>
      <w:jc w:val="both"/>
      <w:spacing w:before="100" w:beforeAutospacing="1" w:after="100" w:afterAutospacing="1"/>
      <w:pBdr>
        <w:top w:val="single" w:color="auto" w:sz="8" w:space="0"/>
        <w:left w:val="single" w:color="auto" w:sz="8" w:space="0"/>
        <w:right w:val="single" w:color="auto" w:sz="4" w:space="0"/>
      </w:pBdr>
    </w:pPr>
    <w:rPr>
      <w:rFonts w:ascii="仿宋" w:hAnsi="仿宋" w:eastAsia="仿宋" w:cs="宋体"/>
      <w:b/>
      <w:bCs/>
      <w:color w:val="000000"/>
      <w:sz w:val="24"/>
      <w:szCs w:val="24"/>
    </w:rPr>
  </w:style>
  <w:style w:type="paragraph" w:styleId="982" w:customStyle="1">
    <w:name w:val="xl76"/>
    <w:basedOn w:val="674"/>
    <w:uiPriority w:val="0"/>
    <w:qFormat/>
    <w:pPr>
      <w:jc w:val="both"/>
      <w:spacing w:before="100" w:beforeAutospacing="1" w:after="100" w:afterAutospacing="1"/>
      <w:pBdr>
        <w:left w:val="single" w:color="auto" w:sz="8" w:space="0"/>
        <w:right w:val="single" w:color="auto" w:sz="4" w:space="0"/>
      </w:pBdr>
    </w:pPr>
    <w:rPr>
      <w:rFonts w:ascii="仿宋" w:hAnsi="仿宋" w:eastAsia="仿宋" w:cs="宋体"/>
      <w:color w:val="000000"/>
      <w:sz w:val="24"/>
      <w:szCs w:val="24"/>
    </w:rPr>
  </w:style>
  <w:style w:type="paragraph" w:styleId="983" w:customStyle="1">
    <w:name w:val="xl77"/>
    <w:basedOn w:val="674"/>
    <w:uiPriority w:val="0"/>
    <w:qFormat/>
    <w:pPr>
      <w:jc w:val="both"/>
      <w:spacing w:before="100" w:beforeAutospacing="1" w:after="100" w:afterAutospacing="1"/>
      <w:pBdr>
        <w:left w:val="single" w:color="auto" w:sz="8" w:space="0"/>
        <w:bottom w:val="single" w:color="auto" w:sz="8" w:space="0"/>
        <w:right w:val="single" w:color="auto" w:sz="4" w:space="0"/>
      </w:pBdr>
    </w:pPr>
    <w:rPr>
      <w:rFonts w:ascii="仿宋" w:hAnsi="仿宋" w:eastAsia="仿宋" w:cs="宋体"/>
      <w:color w:val="000000"/>
      <w:sz w:val="24"/>
      <w:szCs w:val="24"/>
    </w:rPr>
  </w:style>
  <w:style w:type="paragraph" w:styleId="984" w:customStyle="1">
    <w:name w:val="xl78"/>
    <w:basedOn w:val="674"/>
    <w:uiPriority w:val="0"/>
    <w:qFormat/>
    <w:pPr>
      <w:jc w:val="both"/>
      <w:spacing w:before="100" w:beforeAutospacing="1" w:after="100" w:afterAutospacing="1"/>
      <w:pBdr>
        <w:left w:val="single" w:color="auto" w:sz="8" w:space="0"/>
        <w:bottom w:val="single" w:color="auto" w:sz="8" w:space="0"/>
        <w:right w:val="single" w:color="auto" w:sz="8" w:space="0"/>
      </w:pBdr>
    </w:pPr>
    <w:rPr>
      <w:rFonts w:ascii="仿宋" w:hAnsi="仿宋" w:eastAsia="仿宋" w:cs="宋体"/>
      <w:sz w:val="24"/>
      <w:szCs w:val="24"/>
    </w:rPr>
  </w:style>
  <w:style w:type="paragraph" w:styleId="985" w:customStyle="1">
    <w:name w:val="xl79"/>
    <w:basedOn w:val="674"/>
    <w:uiPriority w:val="0"/>
    <w:qFormat/>
    <w:pPr>
      <w:jc w:val="both"/>
      <w:spacing w:before="100" w:beforeAutospacing="1" w:after="100" w:afterAutospacing="1"/>
      <w:pBdr>
        <w:bottom w:val="single" w:color="auto" w:sz="8" w:space="0"/>
        <w:right w:val="single" w:color="auto" w:sz="8" w:space="0"/>
      </w:pBdr>
    </w:pPr>
    <w:rPr>
      <w:rFonts w:ascii="仿宋" w:hAnsi="仿宋" w:eastAsia="仿宋" w:cs="宋体"/>
      <w:b/>
      <w:bCs/>
      <w:sz w:val="24"/>
      <w:szCs w:val="24"/>
    </w:rPr>
  </w:style>
  <w:style w:type="paragraph" w:styleId="986" w:customStyle="1">
    <w:name w:val="xl80"/>
    <w:basedOn w:val="674"/>
    <w:uiPriority w:val="0"/>
    <w:qFormat/>
    <w:pPr>
      <w:spacing w:before="100" w:beforeAutospacing="1" w:after="100" w:afterAutospacing="1"/>
      <w:pBdr>
        <w:right w:val="single" w:color="auto" w:sz="8" w:space="0"/>
      </w:pBdr>
    </w:pPr>
    <w:rPr>
      <w:rFonts w:ascii="仿宋" w:hAnsi="仿宋" w:eastAsia="仿宋" w:cs="宋体"/>
      <w:sz w:val="24"/>
      <w:szCs w:val="24"/>
    </w:rPr>
  </w:style>
  <w:style w:type="paragraph" w:styleId="987" w:customStyle="1">
    <w:name w:val="xl81"/>
    <w:basedOn w:val="674"/>
    <w:uiPriority w:val="0"/>
    <w:qFormat/>
    <w:pPr>
      <w:jc w:val="both"/>
      <w:spacing w:before="100" w:beforeAutospacing="1" w:after="100" w:afterAutospacing="1"/>
      <w:pBdr>
        <w:top w:val="single" w:color="auto" w:sz="8" w:space="0"/>
        <w:left w:val="single" w:color="auto" w:sz="8" w:space="0"/>
        <w:right w:val="single" w:color="auto" w:sz="8" w:space="0"/>
      </w:pBdr>
    </w:pPr>
    <w:rPr>
      <w:rFonts w:ascii="仿宋" w:hAnsi="仿宋" w:eastAsia="仿宋" w:cs="宋体"/>
      <w:b/>
      <w:bCs/>
      <w:sz w:val="24"/>
      <w:szCs w:val="24"/>
    </w:rPr>
  </w:style>
  <w:style w:type="paragraph" w:styleId="988" w:customStyle="1">
    <w:name w:val="xl82"/>
    <w:basedOn w:val="674"/>
    <w:uiPriority w:val="0"/>
    <w:qFormat/>
    <w:pPr>
      <w:jc w:val="both"/>
      <w:spacing w:before="100" w:beforeAutospacing="1" w:after="100" w:afterAutospacing="1"/>
      <w:pBdr>
        <w:top w:val="single" w:color="auto" w:sz="8" w:space="0"/>
        <w:left w:val="single" w:color="auto" w:sz="8" w:space="0"/>
        <w:bottom w:val="single" w:color="auto" w:sz="4" w:space="0"/>
        <w:right w:val="single" w:color="auto" w:sz="8" w:space="0"/>
      </w:pBdr>
    </w:pPr>
    <w:rPr>
      <w:rFonts w:ascii="仿宋" w:hAnsi="仿宋" w:eastAsia="仿宋" w:cs="宋体"/>
      <w:b/>
      <w:bCs/>
      <w:sz w:val="24"/>
      <w:szCs w:val="24"/>
    </w:rPr>
  </w:style>
  <w:style w:type="paragraph" w:styleId="989" w:customStyle="1">
    <w:name w:val="xl83"/>
    <w:basedOn w:val="674"/>
    <w:uiPriority w:val="0"/>
    <w:qFormat/>
    <w:pPr>
      <w:jc w:val="both"/>
      <w:spacing w:before="100" w:beforeAutospacing="1" w:after="100" w:afterAutospacing="1"/>
      <w:pBdr>
        <w:top w:val="single" w:color="auto" w:sz="4" w:space="0"/>
        <w:left w:val="single" w:color="auto" w:sz="8" w:space="0"/>
        <w:bottom w:val="single" w:color="auto" w:sz="8" w:space="0"/>
        <w:right w:val="single" w:color="auto" w:sz="8" w:space="0"/>
      </w:pBdr>
    </w:pPr>
    <w:rPr>
      <w:rFonts w:ascii="仿宋" w:hAnsi="仿宋" w:eastAsia="仿宋" w:cs="宋体"/>
      <w:sz w:val="24"/>
      <w:szCs w:val="24"/>
    </w:rPr>
  </w:style>
  <w:style w:type="paragraph" w:styleId="990" w:customStyle="1">
    <w:name w:val="xl84"/>
    <w:basedOn w:val="674"/>
    <w:uiPriority w:val="0"/>
    <w:qFormat/>
    <w:pPr>
      <w:jc w:val="both"/>
      <w:spacing w:before="100" w:beforeAutospacing="1" w:after="100" w:afterAutospacing="1"/>
      <w:pBdr>
        <w:top w:val="single" w:color="auto" w:sz="8" w:space="0"/>
        <w:left w:val="single" w:color="auto" w:sz="8" w:space="0"/>
      </w:pBdr>
    </w:pPr>
    <w:rPr>
      <w:rFonts w:ascii="仿宋" w:hAnsi="仿宋" w:eastAsia="仿宋" w:cs="宋体"/>
      <w:b/>
      <w:bCs/>
      <w:sz w:val="24"/>
      <w:szCs w:val="24"/>
    </w:rPr>
  </w:style>
  <w:style w:type="paragraph" w:styleId="991" w:customStyle="1">
    <w:name w:val="xl85"/>
    <w:basedOn w:val="674"/>
    <w:uiPriority w:val="0"/>
    <w:qFormat/>
    <w:pPr>
      <w:spacing w:before="100" w:beforeAutospacing="1" w:after="100" w:afterAutospacing="1"/>
      <w:pBdr>
        <w:left w:val="single" w:color="auto" w:sz="8" w:space="0"/>
        <w:bottom w:val="single" w:color="auto" w:sz="8" w:space="0"/>
      </w:pBdr>
    </w:pPr>
    <w:rPr>
      <w:rFonts w:ascii="宋体" w:hAnsi="宋体" w:eastAsia="宋体" w:cs="宋体"/>
      <w:sz w:val="24"/>
      <w:szCs w:val="24"/>
    </w:rPr>
  </w:style>
  <w:style w:type="paragraph" w:styleId="992" w:customStyle="1">
    <w:name w:val="xl86"/>
    <w:basedOn w:val="674"/>
    <w:uiPriority w:val="0"/>
    <w:qFormat/>
    <w:pPr>
      <w:jc w:val="center"/>
      <w:spacing w:before="100" w:beforeAutospacing="1" w:after="100" w:afterAutospacing="1"/>
      <w:pBdr>
        <w:top w:val="single" w:color="auto" w:sz="8" w:space="0"/>
        <w:left w:val="single" w:color="auto" w:sz="8" w:space="0"/>
        <w:right w:val="single" w:color="auto" w:sz="8" w:space="0"/>
      </w:pBdr>
    </w:pPr>
    <w:rPr>
      <w:rFonts w:ascii="仿宋" w:hAnsi="仿宋" w:eastAsia="仿宋" w:cs="宋体"/>
      <w:sz w:val="24"/>
      <w:szCs w:val="24"/>
    </w:rPr>
  </w:style>
  <w:style w:type="paragraph" w:styleId="993" w:customStyle="1">
    <w:name w:val="xl87"/>
    <w:basedOn w:val="674"/>
    <w:uiPriority w:val="0"/>
    <w:qFormat/>
    <w:pPr>
      <w:jc w:val="center"/>
      <w:spacing w:before="100" w:beforeAutospacing="1" w:after="100" w:afterAutospacing="1"/>
      <w:pBdr>
        <w:left w:val="single" w:color="auto" w:sz="8" w:space="0"/>
        <w:right w:val="single" w:color="auto" w:sz="8" w:space="0"/>
      </w:pBdr>
    </w:pPr>
    <w:rPr>
      <w:rFonts w:ascii="仿宋" w:hAnsi="仿宋" w:eastAsia="仿宋" w:cs="宋体"/>
      <w:sz w:val="24"/>
      <w:szCs w:val="24"/>
    </w:rPr>
  </w:style>
  <w:style w:type="paragraph" w:styleId="994" w:customStyle="1">
    <w:name w:val="xl88"/>
    <w:basedOn w:val="674"/>
    <w:uiPriority w:val="0"/>
    <w:qFormat/>
    <w:pPr>
      <w:jc w:val="center"/>
      <w:spacing w:before="100" w:beforeAutospacing="1" w:after="100" w:afterAutospacing="1"/>
      <w:pBdr>
        <w:left w:val="single" w:color="auto" w:sz="8" w:space="0"/>
        <w:bottom w:val="single" w:color="auto" w:sz="8" w:space="0"/>
        <w:right w:val="single" w:color="auto" w:sz="8" w:space="0"/>
      </w:pBdr>
    </w:pPr>
    <w:rPr>
      <w:rFonts w:ascii="仿宋" w:hAnsi="仿宋" w:eastAsia="仿宋" w:cs="宋体"/>
      <w:sz w:val="24"/>
      <w:szCs w:val="24"/>
    </w:rPr>
  </w:style>
  <w:style w:type="paragraph" w:styleId="995" w:customStyle="1">
    <w:name w:val="xl89"/>
    <w:basedOn w:val="674"/>
    <w:uiPriority w:val="0"/>
    <w:qFormat/>
    <w:pPr>
      <w:jc w:val="center"/>
      <w:spacing w:before="100" w:beforeAutospacing="1" w:after="100" w:afterAutospacing="1"/>
      <w:pBdr>
        <w:top w:val="single" w:color="auto" w:sz="8" w:space="0"/>
        <w:right w:val="single" w:color="auto" w:sz="8" w:space="0"/>
      </w:pBdr>
    </w:pPr>
    <w:rPr>
      <w:rFonts w:ascii="仿宋" w:hAnsi="仿宋" w:eastAsia="仿宋" w:cs="宋体"/>
      <w:sz w:val="24"/>
      <w:szCs w:val="24"/>
    </w:rPr>
  </w:style>
  <w:style w:type="paragraph" w:styleId="996" w:customStyle="1">
    <w:name w:val="xl90"/>
    <w:basedOn w:val="674"/>
    <w:uiPriority w:val="0"/>
    <w:qFormat/>
    <w:pPr>
      <w:jc w:val="center"/>
      <w:spacing w:before="100" w:beforeAutospacing="1" w:after="100" w:afterAutospacing="1"/>
      <w:pBdr>
        <w:right w:val="single" w:color="auto" w:sz="8" w:space="0"/>
      </w:pBdr>
    </w:pPr>
    <w:rPr>
      <w:rFonts w:ascii="仿宋" w:hAnsi="仿宋" w:eastAsia="仿宋" w:cs="宋体"/>
      <w:sz w:val="24"/>
      <w:szCs w:val="24"/>
    </w:rPr>
  </w:style>
  <w:style w:type="paragraph" w:styleId="997" w:customStyle="1">
    <w:name w:val="xl91"/>
    <w:basedOn w:val="674"/>
    <w:uiPriority w:val="0"/>
    <w:qFormat/>
    <w:pPr>
      <w:jc w:val="center"/>
      <w:spacing w:before="100" w:beforeAutospacing="1" w:after="100" w:afterAutospacing="1"/>
      <w:pBdr>
        <w:bottom w:val="single" w:color="auto" w:sz="8" w:space="0"/>
        <w:right w:val="single" w:color="auto" w:sz="8" w:space="0"/>
      </w:pBdr>
    </w:pPr>
    <w:rPr>
      <w:rFonts w:ascii="仿宋" w:hAnsi="仿宋" w:eastAsia="仿宋" w:cs="宋体"/>
      <w:sz w:val="24"/>
      <w:szCs w:val="24"/>
    </w:rPr>
  </w:style>
  <w:style w:type="paragraph" w:styleId="998" w:customStyle="1">
    <w:name w:val="TOC 标题2"/>
    <w:uiPriority w:val="39"/>
    <w:unhideWhenUsed/>
    <w:qFormat/>
    <w:rPr>
      <w:rFonts w:ascii="Times New Roman" w:hAnsi="Times New Roman" w:eastAsia="宋体" w:cs="Times New Roman"/>
      <w:lang w:val="en-US" w:eastAsia="zh-CN" w:bidi="ar-SA"/>
    </w:rPr>
  </w:style>
  <w:style w:type="paragraph" w:styleId="999" w:customStyle="1">
    <w:name w:val="!BECC正文"/>
    <w:basedOn w:val="674"/>
    <w:uiPriority w:val="0"/>
    <w:qFormat/>
    <w:pPr>
      <w:contextualSpacing/>
      <w:ind w:firstLine="200"/>
      <w:jc w:val="both"/>
      <w:spacing w:line="360" w:lineRule="auto"/>
      <w:widowControl w:val="off"/>
      <w:tabs>
        <w:tab w:val="left" w:pos="0" w:leader="none"/>
      </w:tabs>
    </w:pPr>
    <w:rPr>
      <w:rFonts w:eastAsia="宋体"/>
      <w:sz w:val="24"/>
      <w:szCs w:val="24"/>
    </w:rPr>
  </w:style>
  <w:style w:type="paragraph" w:styleId="1000" w:customStyle="1">
    <w:name w:val="*正文"/>
    <w:basedOn w:val="674"/>
    <w:uiPriority w:val="0"/>
    <w:qFormat/>
    <w:pPr>
      <w:ind w:firstLine="480"/>
      <w:spacing w:line="300" w:lineRule="auto"/>
    </w:pPr>
    <w:rPr>
      <w:rFonts w:ascii="宋体" w:hAnsi="宋体" w:eastAsia="宋体"/>
      <w:szCs w:val="24"/>
    </w:rPr>
  </w:style>
  <w:style w:type="paragraph" w:styleId="1001" w:customStyle="1">
    <w:name w:val="Char"/>
    <w:basedOn w:val="689"/>
    <w:uiPriority w:val="0"/>
    <w:qFormat/>
  </w:style>
  <w:style w:type="paragraph" w:styleId="1002" w:customStyle="1">
    <w:name w:val="text"/>
    <w:basedOn w:val="674"/>
    <w:uiPriority w:val="0"/>
    <w:qFormat/>
    <w:pPr>
      <w:spacing w:before="100" w:beforeAutospacing="1" w:after="100" w:afterAutospacing="1"/>
    </w:pPr>
    <w:rPr>
      <w:rFonts w:ascii="宋体" w:hAnsi="宋体" w:eastAsia="宋体" w:cs="宋体"/>
      <w:sz w:val="24"/>
      <w:szCs w:val="24"/>
    </w:rPr>
  </w:style>
  <w:style w:type="paragraph" w:styleId="1003" w:customStyle="1">
    <w:name w:val="正文首行缩进 21"/>
    <w:basedOn w:val="674"/>
    <w:uiPriority w:val="0"/>
    <w:qFormat/>
    <w:pPr>
      <w:ind w:left="420" w:firstLine="420"/>
      <w:jc w:val="both"/>
      <w:spacing w:after="120"/>
      <w:widowControl w:val="off"/>
    </w:pPr>
    <w:rPr>
      <w:rFonts w:asciiTheme="minorHAnsi" w:hAnsiTheme="minorHAnsi" w:cstheme="minorBidi"/>
      <w:sz w:val="21"/>
      <w:szCs w:val="24"/>
    </w:rPr>
  </w:style>
  <w:style w:type="paragraph" w:styleId="1004" w:customStyle="1">
    <w:name w:val="纯文本1"/>
    <w:basedOn w:val="674"/>
    <w:uiPriority w:val="0"/>
    <w:qFormat/>
    <w:rPr>
      <w:rFonts w:ascii="宋体" w:hAnsi="Courier New"/>
    </w:rPr>
  </w:style>
  <w:style w:type="paragraph" w:styleId="1005" w:customStyle="1">
    <w:name w:val="Revision"/>
    <w:hidden/>
    <w:uiPriority w:val="99"/>
    <w:semiHidden/>
    <w:qFormat/>
    <w:rPr>
      <w:rFonts w:ascii="Times New Roman" w:hAnsi="Times New Roman" w:cs="Times New Roman" w:eastAsiaTheme="minorEastAsia"/>
      <w:lang w:val="en-US" w:eastAsia="zh-CN" w:bidi="ar-SA"/>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Version="6" SelectedStyle="\APASixthEditionOfficeOnline.xsl" StyleName="APA"/>
</file>

<file path=customXml/itemProps1.xml><?xml version="1.0" encoding="utf-8"?>
<ds:datastoreItem xmlns:ds="http://schemas.openxmlformats.org/officeDocument/2006/customXml" ds:itemID="{AED97B68-37BF-4AA1-B858-CBE6275E37C6}"/>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徐露</cp:lastModifiedBy>
  <cp:revision>27</cp:revision>
  <dcterms:created xsi:type="dcterms:W3CDTF">2025-10-16T08:46:00Z</dcterms:created>
  <dcterms:modified xsi:type="dcterms:W3CDTF">2025-10-27T02:13:15Z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eyJoZGlkIjoiY2I1MDU1NzkwNTNkYWUyOTFiZjlmZjM3MDdkNjE0ZjQiLCJ1c2VySWQiOiI0MzkxODM4ODgifQ==</vt:lpwstr>
  </property>
  <property fmtid="{D5CDD505-2E9C-101B-9397-08002B2CF9AE}" pid="3" name="KSOProductBuildVer">
    <vt:lpwstr>2052-12.1.0.21171</vt:lpwstr>
  </property>
  <property fmtid="{D5CDD505-2E9C-101B-9397-08002B2CF9AE}" pid="4" name="ICV">
    <vt:lpwstr>B4D23B30F68241E8B826A9F7EC3D5FF5_13</vt:lpwstr>
  </property>
</Properties>
</file>